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19/17 - 49/2017 vom 1. November 2017</w:t>
      </w:r>
    </w:p>
    <w:p>
      <w:r>
        <w:t>VD Tribunal cantonal, 2017-11-01, FR</w:t>
      </w:r>
    </w:p>
    <w:p>
      <w:r>
        <w:rPr>
          <w:b/>
        </w:rPr>
        <w:t xml:space="preserve">Quelle: </w:t>
      </w:r>
      <w:r>
        <w:t>https://mcp.opencaselaw.ch/entscheid/vd_findinfo_AVS_19_17_-_49_2017</w:t>
      </w:r>
    </w:p>
    <w:p>
      <w:r>
        <w:t>FR: VD_FINDINFO AVS 19/17 - 49/2017 du 1 novembre 2017</w:t>
      </w:r>
    </w:p>
    <w:p>
      <w:r>
        <w:t>IT: VD_FINDINFO AVS 19/17 - 49/2017 del 1 novembre 2017</w:t>
      </w:r>
    </w:p>
    <w:p>
      <w:pPr>
        <w:pStyle w:val="Heading2"/>
      </w:pPr>
      <w:r>
        <w:t>Regeste</w:t>
      </w:r>
    </w:p>
    <w:p>
      <w:r>
        <w:t>ADMISSION DE LA DEMANDE, FONCTIONNAIRE, ALLEMAGNE, COORDINATION{ASSURANCE} | 13 Règl. 883/2004</w:t>
      </w:r>
    </w:p>
    <w:p>
      <w:pPr>
        <w:pStyle w:val="Heading2"/>
      </w:pPr>
      <w:r>
        <w:t>Erwägungen</w:t>
      </w:r>
    </w:p>
    <w:p>
      <w:r>
        <w:rPr>
          <w:b/>
        </w:rPr>
        <w:t>E. 1</w:t>
      </w:r>
    </w:p>
    <w:p>
      <w:r>
        <w:t>Il convient d’annuler la décision sur opposition de la Caisse cantonale vaudoise de Compensation AVS du 11 mai 2017.</w:t>
      </w:r>
    </w:p>
    <w:p>
      <w:r>
        <w:rPr>
          <w:b/>
        </w:rPr>
        <w:t>E. 2</w:t>
      </w:r>
    </w:p>
    <w:p>
      <w:r>
        <w:t>Les charges sociales (Cotis. AVS/AI, Cotis. AC, Cotis cpl. AC, PC Fam VD cotisation sal.) prélevées de mon indemnité en tant que chargé de cours à l’Université de Lausanne en juin 2016 (CHF 754.20), en juillet 2016 (CHF 1'998.70) et en février 2017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a) Selon l'art. 1 par. 1 de l'Annexe II de l'ALCP, intitulé « Coordination des systèmes de sécurité sociale », et la section A de cette annexe, en corrélation avec les art.</w:t>
      </w:r>
    </w:p>
    <w:p>
      <w:r>
        <w:rPr>
          <w:b/>
        </w:rPr>
        <w:t>E. 8</w:t>
      </w:r>
    </w:p>
    <w:p>
      <w:r>
        <w:t>et 15 ALCP, les parties contractantes appliquent entre elles, en particulier, le règlement n° 883/2004 ainsi que le règlement n° 987/2009, ou des règles équivalentes à ceux-ci. b) Le titre II du règlement n° 883/2004 (art. 11 à 16) contient des règles qui permettent de déterminer la législation applicable pour l’ensemble des situations susceptibles de se présenter. L'art. 11 par. 1 du règlement n° 883/2004 énonce le principe de l'unicité de la législation applicable, en ce sens que les personnes auxquelles le règlement est applicable ne sont soumises qu’à la législation d’un seul Etat membre. Selon l'art. 11 par. 3 let. b du règlement n° 883/2004, les fonctionnaires sont, sous réserve des art. 12 à 16, soumis à la législation de l’Etat membre dont relève l’administration qui les emploie. c) L’art. 13 du règlement n° 883/2004, intitulé « Exercice d’activités dans deux ou plusieurs Etats membres » a la teneur suivante : 1. La personne qui exerce normalement une activité salariée dans deux ou plusieurs Etats membres est soumise : a)              à la législation de l’Etat membre de résidence, si elle exerce une partie substantielle de son activité dans cet Etat membre ; ou b)              si elle n’exerce pas une partie substantielle de ses activités dans l’Etat membre de résidence : i)              à la législation de l’Etat membre dans lequel l’entreprise ou l’employeur a son siège social ou son siège d’exploitation, si cette personne est salariée par une entreprise ou un employeur, ou ii)              à la législation de l’Etat membre dans lequel les entreprises ou les employeurs ont leur siège social ou leur siège d’exploitation si cette personne est salariée par deux ou plusieurs entreprises ou employeurs qui n’ont leur siège social ou leur siège d’exploitation que dans un seul Etat membre, ou iii)              à la législation de l’Etat membre autre que l’Etat membre de résidence, dans lequel l’entreprise ou l’employeur a son siège social ou son siège d’exploitation, si cette personne est salariée par deux ou plusieurs entreprises ou employeurs qui ont leur siège social ou leur siège d’exploitation dans deux Etats membres dont un est l’Etat membre de résidence, ou iv)              à la législation de l’Etat membre de résidence si cette personne est salariée par deux ou plusieurs entreprises ou employeurs, dont deux au moins ont leur siège social ou leur siège d’exploitation dans différents Etats membres autres que l’Etat membre de résidence. 2. La personne qui exerce normalement une activité non salariée dans deux ou plusieurs Etats membres est soumise : a)              à la législation de l’Etat membre de résidence, si elle exerce une partie substantielle de son activité dans cet Etat membre ; ou b)              à la législation de l’Etat membre dans lequel se situe le centre d’intérêt de ses activités, si la personne ne réside pas dans l’un des Etats membres où elle exerce une partie substantielle de son activité. 3. La personne qui exerce normalement une activité salariée et une activité non salariée dans différents Etats membres est soumise à la législation de l’Etat membre dans lequel elle exerce une activité salariée ou, si elle exerce une telle activité dans deux ou plusieurs Etats membres, à la législation déterminée conformément au par. 1. 4. Une personne employée comme fonctionnaire dans un Etat membre et qui exerce une activité salariée et/ou non salariée dans un ou plusieurs autres Etats membres est soumise à la législation de l’Etat membre dont relève l’administration qui l’emploie. 5. Les personnes visées aux par. 1 à 4 sont traitées, aux fins de la législation déterminée conformément à ces dispositions, comme si elles exerçaient l’ensemble de leurs activités salariées ou non salariées et percevaient la totalité de leurs revenus dans l’Etat membre concerné. 5. 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 in Europäisches Sozialrecht, 5 e éd., Baden-Baden 2010, n° 11 ad art. 1 du règlement n° 883/2004). b) Il n’est pas contesté que le recourant bénéficie depuis le 1 er avril 2015, à la suite de sa nomination en qualité de professeur de droit à l’Université de H.________, du statut de fonctionnaire de l’Etat de Z.________. c) En parallèle de son activité professorale pour le compte de l’Université de H.________, le recourant assume depuis le 1 er août 2011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invité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 publique (cf. art. 48 al. 1 Cst-VD [Constitution du canton de Vaud du 14 avril 2003 ; RSV 101.01]). Dans la mesure où le recourant exerce une activité au sein de la fonction publique vaudoise, il doit également être considéré comme un fonctionnaire selon le droit suisse. 6. 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en vigueur jusqu’au 31 mars 2012, le principe de l’unicité de la législation applicable souffrait de diverses exceptions prévues aux art. 14 quater et 14 septies dudit règlement. L’art. 14 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 in Europäisches Sozialrecht, 5 e éd., Baden-Baden 2010, n° 2 ad remarques préliminaires aux art. 11 à 16 du règlement n° 883/2004 et n° 1 ad art. 11 du règlement n° 883/2004). Contrairement à l’art.</w:t>
      </w:r>
    </w:p>
    <w:p>
      <w:r>
        <w:rPr>
          <w:b/>
        </w:rPr>
        <w:t>E. 13</w:t>
      </w:r>
    </w:p>
    <w:p>
      <w:r>
        <w:t>par. 1 du règlement n° 1408/71, l’art. 11 par. 1 du règlement n° 883/2004 ne contient aucune réserve ou exception en faveur de groupes particuliers de personne. De même, les autres dispositions du titre II du règlement n° 883/2004 ne font aucune mention, sous quelque forme que ce soit, de l’exception prévue à l’art. 14 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 Steinmeyer ,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 et/ou non salariée. Afin de parvenir à la solution qui soit la plus conforme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 ). 7. a) Le recours doit être admis et la décision attaquée réformée, en ce sens que l’activité exercée par le recourant pour le compte de l’Unil est soumise à la législation allemande. L’intéressé a par conséquent droit au remboursement des cotisations sociales prélevées par l’intimée sur les indemnités qu’il a reçues.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