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18/22 - 11/2023 vom 28. Juni 2023</w:t>
      </w:r>
    </w:p>
    <w:p>
      <w:r>
        <w:t>VD Tribunal cantonal, 2023-06-28, FR</w:t>
      </w:r>
    </w:p>
    <w:p>
      <w:r>
        <w:rPr>
          <w:b/>
        </w:rPr>
        <w:t xml:space="preserve">Quelle: </w:t>
      </w:r>
      <w:r>
        <w:t>https://mcp.opencaselaw.ch/entscheid/vd_findinfo_AVS_18_22_-_11_2023___________</w:t>
      </w:r>
    </w:p>
    <w:p>
      <w:r>
        <w:t>FR: VD_FINDINFO AVS 18/22 - 11/2023 du 28 juin 2023</w:t>
      </w:r>
    </w:p>
    <w:p>
      <w:r>
        <w:t>IT: VD_FINDINFO AVS 18/22 - 11/2023 del 28 giugno 2023</w:t>
      </w:r>
    </w:p>
    <w:p>
      <w:pPr>
        <w:pStyle w:val="Heading2"/>
      </w:pPr>
      <w:r>
        <w:t>Regeste</w:t>
      </w:r>
    </w:p>
    <w:p>
      <w:r>
        <w:t>COTISATION PARITAIRE, SOUSTRACTION DE COTISATIONS D'ASSURANCE, RESPONSABILITÉ DE L'EMPLOYEUR{AVS}, CONSEIL D'ADMINISTRATION | 52 LAVS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responsabilité du recourant dans le préjudice causé à la caisse intimée en raison du non-paiement par la société S.________ SA, en sa qualité d’employeur, de cotisations sociales pour les années 2017 et 2018.</w:t>
      </w:r>
    </w:p>
    <w:p>
      <w:r>
        <w:rPr>
          <w:b/>
        </w:rPr>
        <w:t>E. 3</w:t>
      </w:r>
    </w:p>
    <w:p>
      <w:r>
        <w:t>a) L’art. 14 al. 1 LAVS, en corrélation avec les art. 34 ss RAVS (règlement du 31 octobre 1947 sur l’assurance-vieillesse et survivants ; RS 831.101), prescrit que l’employeur doit déduire, lors de chaque paie, les cotisations sociales fédérales du salarié et verser celles-ci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al. 1 LAVS, l’employeur qui, intentionnellement ou par négligence grave, n’observe pas des prescriptions et cause ainsi un dommage à l’assurance, est tenu à réparation. Selon la jurisprudence (ATF 137 V 51 consid. 3.1), il s’agit des situations dans lesquelles l’employeur (et, à titre subsidiaire, les organes qui ont agi en son nom) crée un dommage à la caisse de compensation en ne s’acquittant pas des cotisations sociales fédérales (dues en vertu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c)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Cela étant, selon la jurisprudence, pour que l’organe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126 V 237 consid. 4 et réf. cit. ; TFA H 34/04 du 15 septembre 2004 consid. 5.3.1 et les références, in SVR 2005 AHV n° 7 p. 23). Dans les entreprises de taille petite ou moyenne, le devoir de surveillance concernant l’accomplissement de l’obligation légale de payer des cotisations ne saurait être abandonné à des tiers (ATF 114 V 219 consid. 4). D’ailleurs, celui qui se déclare prêt à assumer ou à conserver un mandat d’administrateur, tout en sachant qu’il ne pourra pas le remplir consciencieusement, viole son obligation de diligence (ATF 122 III 200 consid. 3b). Les organes d’une société anonyme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et les références ; voir également TF 9C_65712015 du 19 janvier 2016 consid. 5.3 et 9C_152/2009 du 18 novembre 2009 consid. 6.1, in SVR 2010 AHV n° 4 p. 11).</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5</w:t>
      </w:r>
    </w:p>
    <w:p>
      <w:r>
        <w:t>a) D’après le décompte versé au dossier de l’intimée, il apparaît que la société S.________ SA ne s’est pas acquittée de l’entier des cotisations qu’elle devait à l’intimée pour les années 2017 et 2018, dommage que la Caisse intimée impute au recourant en sa qualité d’administrateur. Pour sa part, le recourant nie avoir commis la moindre faute et plaide, à sa décharge, essentiellement de ne pas avoir pu prendre les mesures qui s’imposaient, au motif que la société était gérée par un tiers. b) aa) En l’occurrence, il n’est pas contesté que le recourant était administrateur de la société faillie du 2 octobre 2014 au 14 décembre 2018 avec signature collective à deux. Cela constaté, se pose la question de savoir si le recourant peut être tenu responsable du dommage causé à l’intimée, du fait du découvert pour les années 2017 et 2018 (cf. extrait de compte au 21 janvier 2022).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causé. En l’occurrence, le recourant, qui était administrateur pendant la période litigieuse, n’a pas contrôlé la gestion de la société. Les personnes formellement ou légalement organes d’une personne morale entrent en principe toujours en considération en tant que responsables solidaires aux conditions de l’art. 52 LAVS (cf. consid. 4b supra). Il incombait ainsi au recourant, en sa qualité d’administrateur, à savoir d’organe légal, de veiller à ce que les cotisations paritaires afférentes aux salaires versés soient effectivement payées à la caisse de compensation, conformément aux prescriptions légales rappelées ci-dessus et indépendamment de sa fonction ou de son influence sur la marche des affaires (cf. TF 9C_68/2020 du 29 décembre 2020 consid. 3 et les références citées). Or, le recourant n’a, à l’évidence, pas rempli ses devoirs et a violé son obligation de diligence, en particulier en omettant de s’acquitter du découvert de charges sociales pour les années 2017 et 2018. bb) Dans son recours du 24 juin 2022, le recourant a expliqué que la gestion quotidienne, notamment de la gestion du personnel, relevait de S.________. L’intéressé indique que son rôle s’est limité à souscrire 60 % des actions et à mettre à disposition un hangar à bateaux. Dans ces circonstances, le recourant admet ni plus ni moins n’avoir pas requis les informations utiles sur le fonctionnement de la société en ayant limité son activité à la souscription d’actions et à la mise à disposition d’un local. De par sa fonction, il aurait cependant dû exercer concrètement et directement une surveillance, sans se limiter à faire confiance à S.________. Rien ne justifie dès lors la passivité de l’intéressé en matière de contrôle, laquelle s’est prolongée tout au long de son mandat selon les propres déclarations de l’intéressé. Le recourant disposait, en sa qualité d’administrateur, de moyens privilégiés pour se renseigner utilement sur la marche des affaires de la société, ceci sans avoir besoin d’attendre de demander à S.________ ce qui s’était produit vis-à-vis de la caisse AVS. Il ne pouvait en effet se contenter, comme il l’a fait, de s’exonérer de toute implication en matière de contrôle. En sa qualité d’administrateur avec signature collective à deux de S.________ SA, le recourant était tenu, en tant que membre du conseil d'administration (art. 717 al. 1 CO), d’exercer la haute surveillance sur les personnes chargées de la gestion de la société, attribution intransmissible et inaliénable (art. 716a al. 1 ch. 5 CO). Entre autres obligations, il lui incombait de se mettre régulièrement au courant de la marche des affaires et de veiller personnellement à ce que les cotisations paritaires afférentes aux salaires versés fussent effectivement payées à l'AVS (TFA H 92/01 du 25 septembre 2002, in SVR 2003 AHV n° 5 p. 14 consid. 5.3.2). cc) Finalement, le recourant se plaint à tort d’une violation du principe de solidarité passive, en ce que l’intimée lui aurait réclamé le paiement de la totalité des arriérés de cotisations afférents à la période litigieuse, alors même que la gestion effective de la société et singulièrement du personnel relevait de S.________. S’il existe une pluralité de responsables, la caisse de compensation lésée jouit en effet d’un concours d’actions et le rapport interne entre les coresponsables ne la concerne pas (cf. ATF 133 III 6 consid. 5.3.2). Il est donc loisible à la caisse de compensation de rechercher tous les débiteurs, quelques-uns ou un seul d’entre eux, à son choix (ATF 134 V 306 consid. 3.1 ; TF 9C_406/2022 du 23 février 2023 consid. 7.4 ; 9C_779/2020 du 7 mai 2021 consid. 6.3). Reste au recourant la faculté de saisir le juge civil d’une action à l’encontre d’autres coresponsables au titre de la répartition interne (ATF 132 III 523 consid. 4.1 et 4.2). dd) Aussi, les circonstances invoquées par le recourant ne constituent pas un motif de suppression ou d’atténuation de la faute commise par l’intéressé. En effet, sa situation correspond à celle d’un homme de paille, puisqu’il a formellement conservé son mandat d’administrateur sans l’assumer dans les faits. A cet égard, la négligence du recourant doit être appréciée d’autant plus sévèrement que la société représentait une petite structure ou de taille réduite (ATF 108 V 199 consid. 3a ; ATFA H 65/01 du 13 mai 2002 consid. 5). c) Le recourant ne fournit au demeurant aucun élément propre à rendre vraisemblable qu’il a tenté d’une manière ou d’une autre, de redresser la situation (licenciements, réduction de salaire, etc.). d) Eu égard à ce qui précède, il convient de retenir que le recourant a commis une négligence grave. Sa responsabilité au sens de l’art. 52 LAVS est dès lors pleinement engagée.</w:t>
      </w:r>
    </w:p>
    <w:p>
      <w:r>
        <w:rPr>
          <w:b/>
        </w:rPr>
        <w:t>E. 6</w:t>
      </w:r>
    </w:p>
    <w:p>
      <w:r>
        <w:t>Reste à se prononcer sur le montant de la créance en réparation de dommage dont le paiement a été réclamé au recourant. a) L’intimée a considéré qu’U.________ avait exercé une activité dépendante pour le compte de la société faillie du 1 er janvier au 30 avril 2018, ce que le recourant conteste. Elle considère aussi qu’en sa qualité d’administrateur, le recourant ne pouvait pas ignorer les tenants du contrôle employeur effectué le 11 novembre 2019, si bien qu’il ne saurait invoquer cet argument à ce stade de la procédure. Le recourant fait valoir qu’à la suite du contrôle employeur en question, dont il déclare tout ignorer, la caisse intimée n’aurait pas dû prélever des cotisations pour les travaux réalisés par U.________ dès lors que celui-ci avait été chargé par la société S.________ SA, en qualité d’entrepreneur, d’effectuer des prestations de peinture, avec son propre matériel et équipement. b)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TF 9C_423/2021 du 1 er avril 2022 consid. 6.2 ; 9C_36/2021 du 7 décembre 2021 consid. 5.2.1 ; 9C_578/2020 du 25 mai 2021 consid. 4.2.1).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Le risque économique encouru par l’entrepreneur peut être défini comme étant celui que court la personne qui doit compter, en raison d’évaluations ou de comportements professionnels inadéquats, avec des pertes de la substance économique de l’entreprise. c) aa) En l’occurrence, le mandat d’administrateur du recourant a pris fin en 2018 selon le registre du commerce, si bien qu’il ne saurait être réputé avoir eu connaissance d’informations relatives à un contrôle employeur en 2019. Dès lors, il y a lieu de vérifier si c’est à juste titre que l’intimée a prélevé des cotisations sociales pour U.________ du 1 er janvier au 30 avril 2018. Soutenir le contraire interdirait de facto au recourant de contester le contrôle employeur litigieux, situation qui violerait le droit d’être entendu et la garantie de l’accès au juge (art. 29 al. 2 et 29 a Cst. [Constitution fédérale de la Confédération suisse du 18 avril 1999 ; RS 101]). bb) Comme le soutient à juste titre le recourant, on ne peut pas présumer l’existence de rapports de travail entre U.________ et la société S.________ SA, comme le fait l’intimée, au seul motif qu’il n’était pas enregistré auprès d’une caisse de compensation (cf. ch. 1066 des Directives sur les cotisations des travailleurs indépendants et des personnes sans activité lucrative dans l'AVS, AI et APG [DIN]). En effet, selon la jurisprudence, le fait que la personne concernée ne soit pas affiliée à une caisse de compensation au moment des faits litigieux ne constitue pas une circonstance de nature économique permettant de distinguer entre revenu provenant d’une activité indépendante et revenu provenant d’une activité dépendante (TF 9C_578/2020 du 25 er mai 2021 consid. 4.2.2 ;  9C_796/2014 du 27 avril 2015 consid. 4.1-4.3 ; H 19/06 du 14 février 2007 consid. 6). Sous réserve des cas très particuliers des vignerons-tâcherons, des concierges et des chauffeurs de taxis, il n’existe pas de présomption juridique en faveur de l’activité salariée ou indépendante (Directives sur le salaire déterminant dans l’AVS, AI et APG [DSD], ch. 1021, 4022, 4032 et 4086). Il ressort des pièces du contrôle employeur effectué le 11 novembre 2019 qu’U.________ a réalisé des travaux de peinture sur des bateaux pour un montant de 9'861 fr. du mois de janvier au mois d’avril 2018, ce qui correspond à un contrat d’entreprise (art. 363 ss CO). Pour le reste, aucun élément du dossier n’indique qu’U.________ se trouvait dans un rapport de subordination organisationnelle vis-à-vis de S.________ SA. La caisse intimée n’a – dans le cours de la procédure – pas apporté pas d’indices sérieux permettant de s’éloigner de ces constatations, persistant à considérer que le recourant aurait pu valablement contester le contrôle employeur effectué le 11 novembre 2019 sans autre prise de position au fond. Elle n’allègue en particulier pas que l’intimée aurait donné des instructions ou directives au prénommé, que celui-ci aurait été soumis à une interdiction de faire concurrence ou qu’il aurait eu une obligation de présence et/ou d’exécuter personnellement les tâches qui lui étaient confiées. U.________ supportait ainsi lui-même les risques et les pertes liés à l’absence de contrats et traitait donc sur un pied d’égalité avec la société S.________ SA. On constate d’ailleurs que les montants de certaines factures ont fait l’objet d’un rabais, ce qui montre ainsi la faculté des parties de négocier d’égal à égal. Rien n’indique par ailleurs que le prénommé ne supportait pas l’entier des frais nécessaires à l’exercice de son activité (téléphonie, informatique, livraison, notamment), de même que les risques et pertes liés à l’insolvabilité des clients ou à des livraisons défectueuses, ce que l’intimée ne prétend du reste pas. En d’autres termes, on voit mal, la société faillie S.________ SA prendre à son compte le risque économique des ouvrages réalisés par U.________. Au demeurant, l’absence d’un numéro de TVA sur les factures d’U.________ n’est pas déterminant en l’espèce, dès lors qu’un indépendant pouvait ne pas être assujetti à la TVA, notamment s’il réalisait un chiffre d’affaires annuel inférieur à 100'000 fr. (art. 10 al. 2 let. a LTVA [RS 641.20]). Le fait qu’U.________ n’était pas inscrit au registre du commerce n’est pas décisif non plus dans la mesure où l’inscription d’une entreprise individuelle au registre du commerce n’est obligatoire que si la personne physique qui exploite une entreprise a, au cours du précédent exercice, réalisé un chiffre d’affaires d’au moins 100'000 fr. (cf. art. 36 al. 1 ORC, dans sa teneur en vigueur jusqu’au 31 décembre 2020 [RO 2007 4851] ; depuis le 1 er janvier 2021, cf. art. 931 al. 1 CO [RO 2020 957]). En définitive, l’intimée ne saurait en définitive imputer à la société faillie de ne pas avoir procédé à des vérifications au sujet de l’affiliation d’U.________ et soutenir qu’elle doit en supporter les conséquences. cc) Aussi, les différentes activités exercées par U.________ pour S.________ SA l’ont été en qualité d’indépendant. Par conséquent, l’intimée n’était pas en droit de facturer des cotisations AVS sur les montants qui lui ont été versés, ainsi que des intérêts moratoires y relatifs, si bien que la décision sur opposition rendue le 25 mai 2022 par la Caisse cantonale vaudoise de compensation AVS doit être annulée en tant qu’elle porte sur les cotisations AVS, les frais et les intérêts relatifs à U.________. d) Pour le surplus, la créance de la Caisse cantonale vaudoise de compensation AVS, vérifiée d’office, peut être confirmée à la lumière de l’extrait de compte au 21 janvier 2022, étant observé que le recourant ne conteste pas la quotité des autres postes du dommage.</w:t>
      </w:r>
    </w:p>
    <w:p>
      <w:r>
        <w:rPr>
          <w:b/>
        </w:rPr>
        <w:t>E. 7</w:t>
      </w:r>
    </w:p>
    <w:p>
      <w:r>
        <w:t>a) Conformément à l'art. 25 LPA-VD, l’autorité peut, d'office ou sur requête, suspendre la procédure pour de justes motifs, notamment lorsque la décision à prendre dépend de l'issue d'une autre procédure ou pourrait s'en trouver influencée d'une manière déterminante. 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l'art. 52 LAVS, jusqu'à droit connu sur le procès pénal, peut être prononcée pour éviter un enchevêtrement des procédures et la répétition de mesures d'instruction par les différentes juridictions saisies (ATFA B 143/05 du 24 mai 2006 consid. 4.1). De même, elle peut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l'art. 29 al. 1 Cst. (Constitution fédérale du 18 avril 1999 ; RS 101) (ATF 130 V 94 consid. 5 ; 119 II 386 consid. 1b et les références citées ; 117 V 131 consid. 3). Le juge saisi dispose d'une certaine marge d'appréciation, dont il doit faire usage en procédant à une pesée des intérêts des parties. Dans les cas limites, l'exigence de célérité l'emporte (ATF 119 II 388 consid. 1b). b) S’agissant d’abord des infractions économiques alléguées, on rappellera qu’il est de jurisprudence constante qu’un défendeur à une action en réparation du dommage ne peut se libérer de sa responsabilité envers une caisse de compensation en voulant démontrer qu’il avait été écarté de la gestion sociale et qu'il ne répondait donc pas de celle-ci (TF 9C_289/2009 du 19 mai 2010 consid. 8). Or, en l’occurrence, le recourant s’est rendu coupable d’un défaut de surveillance en sa qualité d’administrateur, ce en quoi réside précisément le fondement de sa responsabilité objective selon l’art. 52 LAVS, étant souligné que l’intéressé admet avoir limité son activité pour S.________ SA à la souscription d’actions et à la mise à disposition d’un local. Les faits reprochés à S.________ sur le plan pénal ne sont dès lors pas de nature à modifier l’appréciation juridique de la situation du point de vue de la responsabilité – objective – en matière d’assurances sociales, on ne voit pas ce que l'apport de la procédure pénale pourrait y changer. La requête de suspension de cause du 5 septembre 2022 doit ainsi être rejetée.</w:t>
      </w:r>
    </w:p>
    <w:p>
      <w:r>
        <w:rPr>
          <w:b/>
        </w:rPr>
        <w:t>E. 8</w:t>
      </w:r>
    </w:p>
    <w:p>
      <w:r>
        <w:t>a) Sur le vu de tout ce qui précède, le recours doit être partiellement admis et la décision attaquée annulée en tant qu’elle porte sur les cotisations AVS, les frais et les intérêts relatifs à U.________ ; elle est confirmée pour le surplus.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et répartis entre les parties à raison de 400 fr. pour le recourant et 200 fr. pour l’intimée vu le sort du recours. c) Le recours étant partiellement admis, la partie recourante a droit à une indemnité de dépens à titre de participation aux honoraires de son conseil (art. 61 let. g LPGA). Il convient d’arrêter cette indemnité partielle à 1'000 fr., débours et TVA compris (art. 10 et 11 TFJDA [tarif du 28 avril 2015 des frais judiciaires et des dépens en matière administrative ; BLV 173.36.5.1]), et de la mettre à la charge de la partie intimée. Par ces motifs, la juge unique prononce : I. La requête de suspension de cause du 5 septembre 2022 est rejetée. II. Le recours est partiellement admis. III. La décision sur opposition rendue le 25 mai 2022 par la Caisse cantonale vaudoise de compensation AVS est annulée en tant qu’elle porte sur les cotisations AVS, les frais et les intérêts relatifs à U.________. Elle est confirmée pour le surplus. IV. Les frais de justice, arrêtés à 600 fr. (six cents francs), sont mis à la charge de R.________ par 400 fr. (quatre cents francs) et à la charge de la Caisse cantonale vaudoise de compensation AVS par 200 fr. (deux cents francs). V. La Caisse cantonale vaudoise de compensation AVS versera à R.________ une indemnité de 1'000 fr. (mille francs) à titre de dépens. La juge unique :               Le greffier : Du L'arrêt qui précède est notifié à : ‑ Me Bernard de Chedid (pour le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