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AVS 15/09 - 41/2010 vom 19. Oktober 2010</w:t>
      </w:r>
    </w:p>
    <w:p>
      <w:r>
        <w:t>VD Tribunal cantonal, 2010-10-19, FR</w:t>
      </w:r>
    </w:p>
    <w:p>
      <w:r>
        <w:rPr>
          <w:b/>
        </w:rPr>
        <w:t xml:space="preserve">Quelle: </w:t>
      </w:r>
      <w:r>
        <w:t>https://mcp.opencaselaw.ch/entscheid/vd_findinfo_AVS_15_09_-_41_2010</w:t>
      </w:r>
    </w:p>
    <w:p>
      <w:r>
        <w:t>FR: VD_FINDINFO AVS 15/09 - 41/2010 du 19 octobre 2010</w:t>
      </w:r>
    </w:p>
    <w:p>
      <w:r>
        <w:t>IT: VD_FINDINFO AVS 15/09 - 41/2010 del 19 ottobre 2010</w:t>
      </w:r>
    </w:p>
    <w:p>
      <w:pPr>
        <w:pStyle w:val="Heading2"/>
      </w:pPr>
      <w:r>
        <w:t>Regeste</w:t>
      </w:r>
    </w:p>
    <w:p>
      <w:r>
        <w:t>ENRICHISSEMENT ILLÉGITIME, RESTITUTION{EN GÉNÉRAL}, RENTE COMPLÉMENTAIRE{AVS/AI} | 20 LAVS, 27 OPC-AVS/AI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 pilier de B.J.________ 33.00 Total 3’453.00              3'453.00 Charges Entretien forfaitaire pour un couple 1'700.00 Loyer du logement              1'250.00 Supplément à bien plaire 150.00 Total 3'100.00              ./. 3'100.00 Retenue mensuelle dès le 1 er juillet 2009 353.00</w:t>
      </w:r>
    </w:p>
    <w:p>
      <w:r>
        <w:rPr>
          <w:b/>
        </w:rPr>
        <w:t>E. 5</w:t>
      </w:r>
    </w:p>
    <w:p>
      <w:r>
        <w:t>Il s'ensuit que le recours doit être partiellement admis et la décision attaquée réformée en ce sens que, dès le 1 er juillet 2009, la retenue mensuelle s’élève à 353 fr., la décision étant maintenue pour le surplus. Dès lors que la décision litigieuse est réformée en raison de faits postérieurs à son établissement – et dont il est tenu compte par souci d’économie de procédure – il n’y a pas lieu à allocation de dépens (TF 9C_967/2009 du 2 juin 2010, consid. 5). Il n'est pas perçu de frais de justice (art. 61 let. a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