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6 vom 17. März 2014</w:t>
      </w:r>
    </w:p>
    <w:p>
      <w:r>
        <w:t>VD Tribunal cantonal, 2014-03-17, FR</w:t>
      </w:r>
    </w:p>
    <w:p>
      <w:r>
        <w:rPr>
          <w:b/>
        </w:rPr>
        <w:t xml:space="preserve">Quelle: </w:t>
      </w:r>
      <w:r>
        <w:t>https://mcp.opencaselaw.ch/entscheid/vd_findinfo_AP___2014___6</w:t>
      </w:r>
    </w:p>
    <w:p>
      <w:r>
        <w:t>FR: VD_FINDINFO AP / 2014 / 6 du 17 mars 2014</w:t>
      </w:r>
    </w:p>
    <w:p>
      <w:r>
        <w:t>IT: VD_FINDINFO AP / 2014 / 6 del 17 marzo 2014</w:t>
      </w:r>
    </w:p>
    <w:p>
      <w:pPr>
        <w:pStyle w:val="Heading2"/>
      </w:pPr>
      <w:r>
        <w:t>Regeste</w:t>
      </w:r>
    </w:p>
    <w:p>
      <w:r>
        <w:t>OBLIGATION D'ENTRETIEN, ENFANT, CONJOINT, PROTECTION DE L'UNION CONJUGALE, MODIFICATION DES CIRCONSTANCES, MINIMUM VITAL | 176 al. 1 CC, 176 al. 1 ch. 1 CC, 176 CC, 179 al. 1 CC, 179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 en temps utile par une partie qui y a intérêt et portant sur des conclusions patrimoniales qui, capitalisées selon l'art. 92 al. 2 CPC, sont supérieures à 10'000 fr., l’appel est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CPC commenté, n. 5 ad art. 296 CPC et les réf. citées; JT 2011 III 43). c) En l’espèce, le litige porte sur la contribution due par l'appelant pour son épouse et ses deux enfants mineurs. Dès lors que l'on se trouve dans une cause régie par la maxime inquisitoire illimitée, les pièces produites par A.V.________ à l'appui de son appel sont toutes recevables.</w:t>
      </w:r>
    </w:p>
    <w:p>
      <w:r>
        <w:rPr>
          <w:b/>
        </w:rPr>
        <w:t>E. 3</w:t>
      </w:r>
    </w:p>
    <w:p>
      <w:r>
        <w:t>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 2007, c. 2.2.1 ; TF 5C.180/2002 du 20 décembre 2002, c. 5.2.2, in FamPra.ch 2003 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b) En l’occurrence, l’application de la méthode précitée par le premier juge pour le calcul de la contribution d’entretien n’est pas remise en cause par l’appelant. En revanche, celui-ci conteste divers montants le concernant retenus à titre de revenus et de charges. Ses griefs seront examinés ci-après dans la mesure utile.</w:t>
      </w:r>
    </w:p>
    <w:p>
      <w:r>
        <w:rPr>
          <w:b/>
        </w:rPr>
        <w:t>E. 4</w:t>
      </w:r>
    </w:p>
    <w:p>
      <w:r>
        <w:t>a) L'appelant conteste tout d'abord la décision du premier juge de n'inclure les frais de la chambre qu'il loue à Yverdon-les-Bains que jusqu'au 31 janvier 2014. Il fait valoir qu'en tant que cuisinier, il a des horaires irréguliers et qu'il lui est ainsi impossible d'utiliser les transports en commun pour se rendre à son travail. Comme il ne dispose plus du permis de conduire, il lui est indispensable de disposer d'une chambre à proximité de son lieu de travail. S'agissant du raisonnement du premier magistrat consistant à inciter l'appelant à se départir de son appartement à Vallorbe pour en louer un autre dans la région yverdonnoise, soit près de son travail, A.V.________ se prévaut de son délai de congé de quatre mois pour fin mars. En outre, il fait valoir que sa situation financière rend la location d'un nouvel appartement très difficile, voire impossible. b)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TF 5A_748/2012 du 15 mai 2013 c. 5.2.2). c) En l'espèce, le premier juge a estimé qu'au vu de sa situation financière obérée, il n'était pas possible d’exiger de l'appelant qu’il trouve du jour au lendemain un appartement proche de son lieu de travail. Ainsi, l'appelant, qui travaillait depuis la fin du mois de février 2013 auprès de son employeur actuel, devait être mis au bénéfice d’un délai suffisant pour trouver un appartement dans la région yverdonnoise, que le premier magistrat a arrêté à une année. Il a donc considéré que dès le 1 er février 2014, les frais de location de la chambre à Montagny-près-Yverdon ne seraient plus admis. Cette manière de procéder ne prête pas le flanc à la critique. En effet, l'appelant ne dispose plus de permis de conduire depuis plusieurs mois. Si l'on peut admettre, à l'instar de ce qu'a fait le premier juge, que l'appelant ait, dans un premier temps, loué une chambre pour s'épargner de fastidieux déplacements en transports en commun, cette situation ne devrait pas être admise sur une longue durée. L'appelant savait que son permis lui avait été retiré pour une durée indéterminée. Il se devait donc de prendre, à moyen terme à tout le moins, des dispositions pour diminuer ses frais de logement, dont on rappellera qu'ils s'élèvent, chambre comprise, à 2'280 fr. par mois, ce qui est excessif et disproportionné pour une personne seule. En outre, le délai d'une année retenu par le premier juge paraît tout à fait raisonnable. Ainsi, si l'appelant s'en était donné la peine, il aurait tout à fait pu se trouver un nouvel appartement de 2 ou 3 pièces dans la région yverdonnoise et être par conséquent en mesure de résilier le bail de son appartement à Vallorbe dans le délai ordinaire. La situation financière obérée de l'appelant lui rend la recherche d'un nouvel appartement certes difficile, mais pas impossible. Quoi qu'il en soit, l'appelant n'a absolument pas rendu vraisemblable qu'il aurait effectué vainement de quelconques recherches d'appartement et il ne l'a d'ailleurs pas allégué. Par conséquent, le grief de l'appelant, mal fondé, doit être rejeté.</w:t>
      </w:r>
    </w:p>
    <w:p>
      <w:r>
        <w:rPr>
          <w:b/>
        </w:rPr>
        <w:t>E. 5</w:t>
      </w:r>
    </w:p>
    <w:p>
      <w:r>
        <w:t>a) L'appelant reproche également au premier juge d'avoir ajouté à ses revenus le montant de 300 fr. que son employeur lui retient chaque mois au titre de frais de nourriture. Il rappelle qu'il ne touche pas ce montant, qui lui est directement retiré de son salaire. b) Le revenu net du parent contributeur comprend le produit du travail salarié ou indépendant, les revenus de la fortune, les gratifications – pour autant qu'elles constituent un droit du salarié - , le 13è salaire, les avantages salariaux, par exemple sous forme de véhicule, d'indemnité pour travail en équipe, de frais de représentation – s'ils ne correspondent pas à des frais effectifs encourus par le travailleur, et les heures supplémentaires (Meier/Stettler, Droit de la filiation, 4è éd., no 982, p. 571 note infrapaginale 2118; Chaix, Commentaire romand, n. 7 ad art. 176 CC). c) En l'espèce, le premier juge a ajouté les frais de nourriture retenus par l'employeur de l'appelant au salaire de ce dernier, puis a compté dans son minimum vital des frais de repas professionnels à hauteur de 195 fr. par mois. Cette façon de procéder est critiquable. En effet, le montant retenu par l'employeur n'est pas touché par l'appelant et correspond à des frais que ce dernier a effectivement sur son lieu de travail. Il est justifié prendre en considération le revenu net de l'appelant après déduction des frais de nourriture, soit 4'364 fr. 60. Néanmoins, il faut préciser qu'en tant que cuisinier, l'appelant mange probablement plus fréquemment à son travail qu'à son domicile, à tout le moins plus d'une fois par jour. Ainsi, si l'on peut tenir compte de la déduction opérée par son employeur, celle-ci justifie une réduction équivalente de sa base mensuelle, l'appelant supportant moins de frais liés à son alimentation à la maison. En outre, on rappellera que le premier juge a tenu compte, dans le minimum vital de l'appelant, de frais liés à l'exercice de son droit de visite. Néanmoins et comme il l'admet lui-même, l'appelant n'exerce plus son droit de visite depuis plusieurs mois. Ainsi, ces frais doivent être retranchés de son minimum vital. Au final, même si l'argument de l'appelant lié à ses frais de nourriture est fondé, la diminution de sa base mensuelle ainsi que la suppression des frais liés au droit de visite non exercé compensent la diminution occasionnée à son revenu, de sorte qu'il n'y a pas lieu de modifier le montant de la pension fixée par le premier juge dans l'ordonnance attaquée.</w:t>
      </w:r>
    </w:p>
    <w:p>
      <w:r>
        <w:rPr>
          <w:b/>
        </w:rPr>
        <w:t>E. 6</w:t>
      </w:r>
    </w:p>
    <w:p>
      <w:r>
        <w:t>a) Il résulte de ce qui précède que l’appel doit être rejeté et l’ordonnance entreprise confirmée. b) Les frais judiciaires de deuxième instance, arrêtés à 600 fr. (art. 63 al. 1 TFJC [tarif des frais judiciaires civils du 28 septembre 2010, RSV 270.11.5]), sont mis à la charge de l'appelant, qui succombe (art. 106 al. 1 CPC). c) L'appel étant rejeté, B.V.________ a droit à de pleins dépens, arrêtés à 2'500 fr. (art. 106 al. 1 CPC et 9 al. 1 TDC [tarif des dépens en matière civile du 23 novembre 2010, RSV 270.11.6]). Pour le cas où ces dépens ne pourraient pas être recouvrés, l'indemnité d'office de Me Franck-Olivier Karlen, conseil d'office de l’intimée, sera arrêtée à 2'181 fr. 60 pour la procédure de deuxième instance, montant correspondant à 10 h 30 de travail rémunérées au tarif horaire de 180 fr., auquel s'ajoute un montant de 140 fr. 40, TVA comprise, à titre de remboursement de ses débours. Me Renaud Lattion, conseil d’office de l’appelant, a produit une liste détaillée de ses opérations annonçant 8 h 50 de travail et 86 fr. de débours, TVA en sus. L’indemnité d’office de ce conseil est ainsi arrêtée à 1'810 fr. 10, TVA et débours compris. Dans la mesure de l’art. 123 CPC, les bénéficiaires de l'assistance judiciaire sont tenus au remboursement des frais judiciaires et de l’indemnité au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Renaud Lattion, conseil de l’appelant, est arrêtée à 1'810 fr. 10 (mille huit cent dix francs et dix centimes), TVA et débours compris. V. L’indemnité d’office de Me Franck-Olivier Karlen, conseil de l’intimée, est arrêtée à 2'181 fr. 60 (deux mille cent huitante et un francs et soixante centimes), TVA et débours compris. VI. Les bénéficiaires de l’assistance judiciaire sont, dans la mesure de l’art. 123 CPC, tenus au remboursement des frais judiciaires et de l’indemnité au conseil d’office mis à la charge de l’Etat. VII. L’appelant A.V.________ doit verser à l’intimée B.V.________ la somme de 2'500 fr. (deux mille cinq cents francs), à titre de dépens de deuxième instance. VIII. L’arrêt motivé est exécutoire. Le juge délégué : La greffière : Du 27 mars 2014 Le dispositif de l'arrêt qui précède est communiqué par écrit aux intéressés. La greffière : Du L'arrêt qui précède, dont la rédaction a été approuvée à huis clos, est notifié en expédition complète, par l'envoi de photocopies à : ‑ Me Renaud Lattion (pour A.V.________), ‑ Me Franck-Olivier Karlen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