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16 vom 26. August 2013</w:t>
      </w:r>
    </w:p>
    <w:p>
      <w:r>
        <w:t>VD Tribunal cantonal, 2013-08-26, FR</w:t>
      </w:r>
    </w:p>
    <w:p>
      <w:r>
        <w:rPr>
          <w:b/>
        </w:rPr>
        <w:t xml:space="preserve">Quelle: </w:t>
      </w:r>
      <w:r>
        <w:t>https://mcp.opencaselaw.ch/entscheid/vd_findinfo_AP___2013___16</w:t>
      </w:r>
    </w:p>
    <w:p>
      <w:r>
        <w:t>FR: VD_FINDINFO AP / 2013 / 16 du 26 août 2013</w:t>
      </w:r>
    </w:p>
    <w:p>
      <w:r>
        <w:t>IT: VD_FINDINFO AP / 2013 / 16 del 26 agosto 2013</w:t>
      </w:r>
    </w:p>
    <w:p>
      <w:pPr>
        <w:pStyle w:val="Heading2"/>
      </w:pPr>
      <w:r>
        <w:t>Regeste</w:t>
      </w:r>
    </w:p>
    <w:p>
      <w:r>
        <w:t>DÉCISION SUR FRAIS, TRANSACTION JUDICIAIRE | 109 al. 1 CPC (CH), 241 CPC (CH), 65 al. 3 TFJC (2010), 67 al. 2 TFJC (2010)</w:t>
      </w:r>
    </w:p>
    <w:p>
      <w:pPr>
        <w:pStyle w:val="Heading2"/>
      </w:pPr>
      <w:r>
        <w:t>Volltext</w:t>
      </w:r>
    </w:p>
    <w:p>
      <w:r>
        <w:t>Vaud Tribunal cantonal Cour d'appel civile 26.08.2013 AP / 2013 / 16</w:t>
      </w:r>
    </w:p>
    <w:p>
      <w:r>
        <w:t>DÉCISION SUR FRAIS, TRANSACTION JUDICIAIRE | 109 al. 1 CPC (CH), 241 CPC (CH), 65 al. 3 TFJC (2010), 67 al. 2 TFJC (2010)</w:t>
      </w:r>
    </w:p>
    <w:p>
      <w:r>
        <w:t>TRIBUNAL CANTONAL TD12.013770-131232 430 JUGE DELEGUE DE LA cour d’appel CIVILE _________________________________________________________ Arrêt du 26 août 2013 __________________ Présidence de               M. Pellet , juge délégué Greffier : Mme              Nantermod Bernard ***** Art. 109 al. 1 et 241 CPC; 65 al. 4, 67 al. 2 et 4 TFJC Vu l'ordonnance de mesures provisionnelles rendue le 30 mai 2013 par la Présidente du Tribunal civil de l'arrondissement de La Broye et du Nord vaudois dans la cause en divorce divisant V.________, à Yverdon-les-Bains, requérant, d’avec H.________, à Baulmes, intimée, vu l'appel interjeté le 13 juin 2013 par V.________ à l'encontre de cette décision, vu la réponse déposée le 15 juillet 2013 par H.________, vu la transaction entre parties intervenue à l'audience d'appel du 26 août 2013, dont le juge délégué a pris acte sur le siège pour valoir arrêt sur appel, vu les autres pièces du dossier;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qu’il peut être augmenté librement par le tribunal jusqu’à concurrence de 10'000 fr. lorsque l’appel porte sur une contribution d’entretien de la famille dépassant 7'200 fr. (art. 65 al. 4 TFJC), qu’il a été fixé en l’espèce à 7'000 fr., qu'en cas de transaction sur l'objet de l'appel lorsque le dossier a circulé auprès des membres de la cour, l'émolument est réduit d'un tiers (art. 67 al. 2 TFJC), que l'émolument forfaitaire de décision de l'appelant doit ainsi être arrêté à 4'667 francs ; attendu que selon l'art. 241 al. 2 CPC (Code de procédure civile du 19 décembre 2008; RS 272), la transaction a les effets d'une décision entrée en force, que la cause doit ainsi être rayée du rôle (art. 241 al. 3 CPC); attendu qu'il n'y a pas lieu d'allouer de dépens de deuxième instance (art. 109 al. 1 CPC), les parties y ayant renoncé au chiffre II de la transaction. Par ces motifs, le juge délégué de la Cour d’appel civile du Tribunal cantonal, statuant à huis clos, prononce : I. Les frais judiciaires de deuxième instance de l'appelant V.________ sont fixés à 4'667 fr. (quatre mille six cent soixante-sept francs). II. La cause est rayée du rôle. III. L'arrêt, rendu sans dépens, est exécutoire. Le juge délégué : Le greffier : Du L'arrêt qui précède, dont la rédaction a été approuvée à huis clos, est notifié à : ‑ Me Gloria Capt (pour V.________), ‑ Me François Logoz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