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6 vom 18. März 2010</w:t>
      </w:r>
    </w:p>
    <w:p>
      <w:r>
        <w:t>VD Tribunal cantonal, 2010-03-18, FR</w:t>
      </w:r>
    </w:p>
    <w:p>
      <w:r>
        <w:rPr>
          <w:b/>
        </w:rPr>
        <w:t xml:space="preserve">Quelle: </w:t>
      </w:r>
      <w:r>
        <w:t>https://mcp.opencaselaw.ch/entscheid/vd_findinfo_AP___2012___6</w:t>
      </w:r>
    </w:p>
    <w:p>
      <w:r>
        <w:t>FR: VD_FINDINFO AP / 2012 / 6 du 18 mars 2010</w:t>
      </w:r>
    </w:p>
    <w:p>
      <w:r>
        <w:t>IT: VD_FINDINFO AP / 2012 / 6 del 18 marzo 2010</w:t>
      </w:r>
    </w:p>
    <w:p>
      <w:pPr>
        <w:pStyle w:val="Heading2"/>
      </w:pPr>
      <w:r>
        <w:t>Regeste</w:t>
      </w:r>
    </w:p>
    <w:p>
      <w:r>
        <w:t>TORT MORAL, DÉPENS, DÉCISION SUR FRAIS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 Corboz, Le pourvoi en nullité à la Cour de cassation, in SJ 1991 pp. 57 ss, spéc. pp. 99-100 ; ATF 117 IV 97, JT 1993 IV 130).</w:t>
      </w:r>
    </w:p>
    <w:p>
      <w:r>
        <w:rPr>
          <w:b/>
        </w:rPr>
        <w:t>E. 2</w:t>
      </w:r>
    </w:p>
    <w:p>
      <w:r>
        <w:t>Dans son arrêt du 20 décembre 2011, le Tribunal fédéral a estimé que c'était en faisant une application arbitraire de l'art. 447 al. 2 aCPP/VD, que l'autorité cantonale avait retenu, sans le justifier, que B.W.________ avait été confrontée au meurtre de sa mère. Il a rappelé que selon cette disposition, en vigueur jusqu'au 31 décembre 2010, la Cour de cassation était liée par les faits constatés dans le jugement attaqué, sous réserve des inadvertances manifestes, qu'elle rectifiait d'office. Il a rappelé qu'en l'occurrence, les premiers juges avaient considéré qu'il était établi que B.W.________ était décédée après sa mère (jgt., p. 66) mais qu'en revanche, ils n'avaient pas retenu que cette dernière avait constaté la mort de sa mère, indiquant au contraire ne pas savoir comment A.W.________ avait tué sa sœur (jgt., p. 61). Le Tribunal fédéral a en outre souligné qu'il ne ressortait pas des faits établis par l'autorité de première instance, auxquels la cour de céans était alors liée, que B.W.________, avant de mourir, ait su que sa mère avait été tuée et que dès lors, une atteinte à son bien-être moral ne pouvait dans ces conditions être considérée comme établie. Il a estimé qu'une indemnité pour tort moral fondée sur l'art. 47 CO ne pouvait lui être accordée et a également précisé que la jurisprudence admettant la possibilité pour une personne atteinte dans son intégrité physique d'obtenir une indemnité pour tort moral alors même qu'elle n'est pas consciente de la lésion subie (ATF 116 II 519 c. 2c ; 108 II 422 c. 4c ; 117 II 50 c. 3b/bb), n'était pas applicable en l'espèce, faute déjà qu'il soit établi que B.W.________ ait été confrontée à la mort de sa mère et par là subi une atteinte, avant sa propre mort, dans son bien-être moral. Il a donc admis le recours sur ce point. Il s'ensuit qu'aucune indemnité pour tort moral ne peut être allouée à B.W.________, ce que son représentant ne disconvient du reste pas.</w:t>
      </w:r>
    </w:p>
    <w:p>
      <w:r>
        <w:rPr>
          <w:b/>
        </w:rPr>
        <w:t>E. 3</w:t>
      </w:r>
    </w:p>
    <w:p>
      <w:r>
        <w:t>Le Tribunal fédéral a invité l'autorité cantonale à rendre une nouvelle décision, s'agissant de la question des dépens et des frais des instances cantonales. Dépens pénaux L'intervention du curateur d'absence de B.W.________, en l'occurrence un avocat, était en l'espèce indispensable. La question du tort moral n'était qu'un aspect de sa mission, dès lors que l'incrimination pénale était contestée par le prévenu qui, de surcroît imputait, du moins dans un temps, la responsabilité de la mort de sa mère et de l'amie de cette dernière à sa sœur. Cela étant, on doit tenir compte du fait que B.W.________ n'a pas obtenu l'intégralité de l'adjudication de ses conclusions. Toutefois, il faut également prendre en compte le fait qu'une conclusion en tort moral ne nécessite pas de l'avocat qu'il se livre à un travail considérable, dès lors qu'en raison de sa nature, l'indemnité pour tort moral échappe à toute fixation selon des critères mathématiques. En définitive, il convient de réduire raisonnablement les dépens alloués de 5'000 fr. et de les porter à 55'000 francs. Les frais de curateur, qui ne sont pas liés à cette conclusion en tort moral, demeurent en revanche inchangés. Frais Etant donné que A.W.________ a succombé à l'action pénale, il n'y a pas lieu de modifier le montant des frais de 194'935 fr. 25, mis à sa charge en première instance. En revanche, au vu de l'admission très partielle du recours, le montant des frais de deuxième instance peut être réduit raisonnablement à concurrence de 1/20, ce dans la mesure où l'essentiel du recours portait sur l'incrimination pénale et qu'il a été rejeté dans cette mesure. Les frais du présent 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