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3 vom 16. September 2010</w:t>
      </w:r>
    </w:p>
    <w:p>
      <w:r>
        <w:t>VD Tribunal cantonal, 2010-09-16, FR</w:t>
      </w:r>
    </w:p>
    <w:p>
      <w:r>
        <w:rPr>
          <w:b/>
        </w:rPr>
        <w:t xml:space="preserve">Quelle: </w:t>
      </w:r>
      <w:r>
        <w:t>https://mcp.opencaselaw.ch/entscheid/vd_findinfo_AP___2012___3</w:t>
      </w:r>
    </w:p>
    <w:p>
      <w:r>
        <w:t>FR: VD_FINDINFO AP / 2012 / 3 du 16 septembre 2010</w:t>
      </w:r>
    </w:p>
    <w:p>
      <w:r>
        <w:t>IT: VD_FINDINFO AP / 2012 / 3 del 16 settembre 2010</w:t>
      </w:r>
    </w:p>
    <w:p>
      <w:pPr>
        <w:pStyle w:val="Heading2"/>
      </w:pPr>
      <w:r>
        <w:t>Regeste</w:t>
      </w:r>
    </w:p>
    <w:p>
      <w:r>
        <w:t>CONTRAT D'ENTREPRISE, AVIS DES DÉFAUTS, DÉFAUT APPARENT, DÉFAUT CACHÉ, TRANSACTION EXTRAJUDICIAIRE, TRANSACTION{ACCORD} | 367 CO, 368 CO, 370 CO</w:t>
      </w:r>
    </w:p>
    <w:p>
      <w:pPr>
        <w:pStyle w:val="Heading2"/>
      </w:pPr>
      <w:r>
        <w:t>Erwägungen</w:t>
      </w:r>
    </w:p>
    <w:p>
      <w:r>
        <w:rPr>
          <w:b/>
        </w:rPr>
        <w:t>E. 5</w:t>
      </w:r>
    </w:p>
    <w:p>
      <w:r>
        <w:t>En conclusion, le recours est admis, le jugement annulé d’office et la cause renvoyée à l’autorité de première instance pour nouvelle instruction et nouvelle décision dans le sens des considérants qui précèdent. Les frais de deuxième instance de la recourante sont arrêtés à 667 fr. (art. 232 al. 1 TFJC [Tarif des frais judiciaires en matière civile du 4 décembre 1984]). La recourante a droit à des dépens de deuxième instance, arrêtés à 2'167 fr., TVA, débours et remboursement de l’avance de frais compris (art. 1 et 2 al. 1 TAv [Tarif des honoraires d’avocat dus à titre de dépens du 17 juin 1986]), à charge des intimées, solidairement entre elles. Par ces motifs, la Chambre des recours du Tribunal cantonal, statuant en audience publique, prononce : I. Le recours est admis. II. Le jugement est annulé d’office et la cause est renvoyée au Tribunal civil de l’arrondissement de La Côte pour nouvelle instruction et nouvelle décision dans le sens des considérants. III. Les frais de deuxième instance de la recourante A.________ SA sont arrêtés à 667 fr. (six cent soixante-sept francs). IV. Les intimées D.________ SA et E.________ SA, solidairement entre elles, doivent verser à la recourante A.________ SA la somme de 2'167 fr. (deux mille cent soixante-sept francs) à titre de dépens de deuxième instance. V. L’arrêt motivé est exécutoire. Le président :               Le greffier : Du 18 janvier 2012 Le dispositif de l'arrêt qui précède est communiqué par écrit aux intéressés. Le greffier : Du L'arrêt qui précède, dont la rédaction a été approuvée à huis clos, est notifié en expédition complète, par l'envoi de photocopies à : ‑ Me Dan Bally (pour A.________ SA) ‑ Me Pierre-Yves Brandt (pour D.________ SA et E.________ SA) La Chambre des recours considère que la valeur litigieuse est de 36’669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