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21 vom 7. September 2010</w:t>
      </w:r>
    </w:p>
    <w:p>
      <w:r>
        <w:t>VD Tribunal cantonal, 2010-09-07, FR</w:t>
      </w:r>
    </w:p>
    <w:p>
      <w:r>
        <w:rPr>
          <w:b/>
        </w:rPr>
        <w:t xml:space="preserve">Quelle: </w:t>
      </w:r>
      <w:r>
        <w:t>https://mcp.opencaselaw.ch/entscheid/vd_findinfo_AP___2012___21</w:t>
      </w:r>
    </w:p>
    <w:p>
      <w:r>
        <w:t>FR: VD_FINDINFO AP / 2012 / 21 du 7 septembre 2010</w:t>
      </w:r>
    </w:p>
    <w:p>
      <w:r>
        <w:t>IT: VD_FINDINFO AP / 2012 / 21 del 7 settembre 2010</w:t>
      </w:r>
    </w:p>
    <w:p>
      <w:pPr>
        <w:pStyle w:val="Heading2"/>
      </w:pPr>
      <w:r>
        <w:t>Regeste</w:t>
      </w:r>
    </w:p>
    <w:p>
      <w:r>
        <w:t>BAIL À LOYER, DÉFAUT DE LA CHOSE, RÉDUCTION{EN GÉNÉRAL}, BRUIT, FUMÉE, IMMISSION, LOYER | 259a CO, 259d CO, 456a al. 1 CPC</w:t>
      </w:r>
    </w:p>
    <w:p>
      <w:pPr>
        <w:pStyle w:val="Heading2"/>
      </w:pPr>
      <w:r>
        <w:t>Erwägungen</w:t>
      </w:r>
    </w:p>
    <w:p>
      <w:r>
        <w:rPr>
          <w:b/>
        </w:rPr>
        <w:t>E. 5</w:t>
      </w:r>
    </w:p>
    <w:p>
      <w:r>
        <w:t>Les défendeurs concluent à l'octroi d'une réduction de loyer de 10 % du 13 novembre 2007 jusqu'au 23 décembre 2011. Selon la jurisprudence,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 4.1; TF 4C.219/2005 du 24 octobre 2005 c. 2.3). Les premiers juges se sont référés à la casuistique qui a accordé une réduction de loyer de 12 % pour des émanations olfactives, désagréables et toxiques (odeur d'œuf pourri) provenant d'une cheminée voisine, le matin, certains jours pendant plusieurs heures (Corboz, Les défauts de la chose louée, SJ 1979, p. 146), de 12,5 % pour le bruit causé par un orchestre jouant trop fort la nuit plusieurs fois par semaine (Züst, Die Mangelrechte des Mieters, 2 e éd, 1995, p. 204) et à des précédents accordant 5 % de réduction de loyer pour de fortes odeurs incommodantes de mazout, et de 3 % pour les cris quotidiens d'un coq installé à proximité. Au vu de ces considérations et des circonstances de l'espèce, ils ont fixé la réduction à 5 %. Cette appréciation peut être confirmée au vu de la nature des nuisances, du fait qu'elles sont limitées à 21 heures en semaine et à 7 h 30 le samedi matin et inexistantes lors des périodes de vacances scolaires. En outre, dès lors que les premiers juges ont accordé cette réduction jusqu'à élimination du défaut, la conclusion des défendeurs tendant à ce que celle-ci soit allouée jusqu'au 23 décembre 2011 est couverte par le jugement de première instance, de sorte que cette conclusion est sans portée. Le recours joint doit être rejeté.</w:t>
      </w:r>
    </w:p>
    <w:p>
      <w:r>
        <w:rPr>
          <w:b/>
        </w:rPr>
        <w:t>E. 6</w:t>
      </w:r>
    </w:p>
    <w:p>
      <w:r>
        <w:t>En conclusion, le recours principal et le recours joint doivent être rejetés et le jugement confirmé. Les frais de deuxième instance de la recourante principale sont arrêtés à 200 fr. et ceux des recourants par voie de jonction à 200 fr. (art. 230 al. 1 et 232 al. 2 aTFJC [tarif du 4 décembre 1984 des frais judiciaires en matière civile]). Aucune des parties n'obtenant davantage gain de cause que l'autre, il y a lieu de compenser les dépens de deuxième instance (art. 92 al. 2 CPC-VD). Par ces motifs, la Chambre des recours du Tribunal cantonal, statuant en audience publique, prononce : I. Le recours principal et le recours joint sont rejetés. II. Le jugement est confirmé. III. Les frais de deuxième instance de la recourante principale S.________ sont arrêtés à 200 fr. (deux cents francs). IV. Les frais de deuxième instance des intimés et recourants par voie de jonction F.________ et P.________, solidairement entre eux, sont arrêtés à 200 fr. (deux cents francs). V. Les dépens de deuxième instance sont compensés. VI. L'arrêt motivé est exécutoire. Le président :               Le greffier : Du 28 mars 2012 Le dispositif de l'arrêt qui précède est communiqué par écrit aux intéressés. Le greffier : Du L'arrêt qui précède, dont la rédaction a été approuvée à huis clos, est notifié en expédition complète, par l'envoi de photocopies à : ‑ Me Nicolas Saviaux (pour S.________), ‑ M. et Mme F.________ et P.________. La Chambre des recours considère que la valeur litigieuse de chacun des recours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