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13 vom 5. Oktober 2010</w:t>
      </w:r>
    </w:p>
    <w:p>
      <w:r>
        <w:t>VD Tribunal cantonal, 2010-10-05, FR</w:t>
      </w:r>
    </w:p>
    <w:p>
      <w:r>
        <w:rPr>
          <w:b/>
        </w:rPr>
        <w:t xml:space="preserve">Quelle: </w:t>
      </w:r>
      <w:r>
        <w:t>https://mcp.opencaselaw.ch/entscheid/vd_findinfo_AP___2012___13</w:t>
      </w:r>
    </w:p>
    <w:p>
      <w:r>
        <w:t>FR: VD_FINDINFO AP / 2012 / 13 du 5 octobre 2010</w:t>
      </w:r>
    </w:p>
    <w:p>
      <w:r>
        <w:t>IT: VD_FINDINFO AP / 2012 / 13 del 5 ottobre 2010</w:t>
      </w:r>
    </w:p>
    <w:p>
      <w:pPr>
        <w:pStyle w:val="Heading2"/>
      </w:pPr>
      <w:r>
        <w:t>Regeste</w:t>
      </w:r>
    </w:p>
    <w:p>
      <w:r>
        <w:t>PROLONGATION DU BAIL À LOYER, BAIL À LOYER, DÉCISION DE RENVOI, POUVOIR D'EXAMEN, CONSTATATION DES FAITS, MAXIME INQUISITOIRE | 272 al. 1 CO, 272 al. 2 CO, 272 CO, 456a al. 2 CPC, 107 al. 2 LTF</w:t>
      </w:r>
    </w:p>
    <w:p>
      <w:pPr>
        <w:pStyle w:val="Heading2"/>
      </w:pPr>
      <w:r>
        <w:t>Erwägungen</w:t>
      </w:r>
    </w:p>
    <w:p>
      <w:r>
        <w:rPr>
          <w:b/>
        </w:rPr>
        <w:t>E. 1</w:t>
      </w:r>
    </w:p>
    <w:p>
      <w:r>
        <w:t>Le Code de procédure civile suisse du 19 décembre 2008 (ci-après : CPC, est entré en vigueur le 1 er janvier 2011. Toutefois le jugement attaqué est antérieur à cette date de sorte que le recours est régi par le CPC-VD (art. 405 al. 1 CPC-VD), quand bien même l'arrêt de renvoi du Tribunal fédéral a été rendu en 2011 (TF 4A_641/2011 du 27 janvier 2012 c. 2.2; CREC I 21 septembre 2011/245).</w:t>
      </w:r>
    </w:p>
    <w:p>
      <w:r>
        <w:rPr>
          <w:b/>
        </w:rPr>
        <w:t>E. 2</w:t>
      </w:r>
    </w:p>
    <w:p>
      <w:r>
        <w:t>La LTF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a tranché définitivement la question de la validité du congé litigieux et renvoyé la cause pour instruire et statuer sur celle d'une éventuelle prolongation de bail.</w:t>
      </w:r>
    </w:p>
    <w:p>
      <w:r>
        <w:rPr>
          <w:b/>
        </w:rPr>
        <w:t>E. 3</w:t>
      </w:r>
    </w:p>
    <w:p>
      <w:r>
        <w:t>Le recourant soutient qu'il convient de statuer en l'état du dossier et que les conditions d'une prolongation ne sont pas réalisées.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lI 446 c. 3b ; Lachat, Le bail à loyer, 2 e éd., 2008, p. 771).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précité). 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précité;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SVIT, Das Schweizerische Mietrecht – Kommentar, 3 e éd., 2008, n. 15 ad art. 272 CO, p. 782; Weber, Basler Kommentar, 5 e éd., 2011, n. 3 ad art. 272 CO, p. 1621; contra: Lachat, op. cit., note infrapaginale n° 40, p. 771 et les réf.). La notion de conséquences pénibles doit être appréciée au cas par cas, en tenant compte de toutes les circonstances (Cahiers du bail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précité; Tercier/Favre/Bugnon, Les contrats spéciaux, 4 e éd., 2009, n° 2764, p. 406).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[Code civil suisse du 10 décembre 1907, RS 210]).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 ATF 133 II 201 c. 5.4 ; ATF 125 III 226 c. 4b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 226 c. 4c ; Lachat, op. cit., p. 782 et les réf. citées).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CdB 2010, p. 83). Une prolongation unique peut être ordonnée lorsque, au moment du jugement, un pronostic fiable peut être posé quant aux difficultés du locataire à trouver un local de remplacement (Weber, op. cit., n. 15 ad art. 272 CO, p. 1627 ; CREC I 26 août 2009/417), respectivement lorsque le locataire peut disposer d’une solution de remplacement en déployant les efforts nécessaires (Conod, Droit du bail à loyer : Commentaire pratique, Bohnet/Montini éd., 2010, n. 9 ad art. 272b CO, p. 1073). Une prolongation unique est également envisageable lorsque le locataire n’a pas fait de recherches intensives de locaux de remplacement jusqu’au moment de la prolongation (TF 4C.400/2001 du 4 mars 2002 c. 4 ; SVIT, op. cit., n. 6 ad art. 272b CO, p. 817). En l'espèce, les demandeurs ont conclu devant le Tribunal des baux subsidiairement à une prolongation du bail de quatre ans. Ils n'ont cependant articulé, dans leur demande, aucune allégation en relation avec cette conclusion. Par courrier du 15 juin 2010, le Président du Tribunal des baux leur a imparti un délai au 15 juillet 2010 pour produire notamment "toute pièce établissant les conséquences pénibles de la fin du bail", de même que "toute pièce utile à prouver la situation personnelle et financière de la partie locataire (état civil, situation professionnelle, revenus et fortune), en particulier ses deux dernières déclarations fiscales et les taxations fiscales y relatives". Dans le délai imparti, les demandeurs ont produit les pièces n os 13 à 25 sous bordereau II. De son côté, le défendeur a allégué, dans sa réponse du 21 septembre 2010, une série d'éléments (cf. allégués n os 98 à 109) pour s'opposer à la prolongation de bail sollicitée. Vu la solution adoptée par le Tribunal des baux, ces différents éléments de fait et les pièces produites n'ont pas été examinées par ce dernier sous l'angle d'une éventuelle prolongation de bail. Or, en cette matière, le juge établit d'office les faits (cf. art. 11 al. 2 LTB [loi du 13 décembre 1981 sur le Tribunal des baux]). Selon la maxime inquisitoriale applicable, le juge doit interroger les parties et les informer de leur devoir de collaboration et de production de pièces. Il ne découle pas du devoir d'interpeller la partie, lorsque les preuves de celle-ci sont incomplètes, que le juge devrait, à réception des pièces dont la production a été requise, indiquer si les pièces en question suffisent ou non à rapporter la preuve du fait invoqué et interpeller à nouveau la partie afin qu'elle complète sa production (cf. Byrde/Giroud Walther/Hack, in Procédures spéciales vaudoises, 2008, n. 6a ad art. 11 LTB, p. 120). Il résulte du jugement attaqué que le Tribunal des baux, vu la solution adoptée, n'a pas statué sur "les autres motifs avancés par les demandeurs à l'appui de leurs conclusions" ni sur "la prolongation du bail litigieux (cf. jugement, p. 7). L'instruction à effectuer dépasse le cadre restreint de l'instruction complémentaire selon l'art. 456a al. 1 CPC-VD (JT 2003 III 3) et le respect de la garantie de la double instance pour l'appréciation des faits commande d'annuler d'office le jugement en application de l'art. 456a al. 2 CPC-VD et de renvoyer la cause au Tribunal des baux, afin qu'il examine lui-même la conclusion en prolongation de bail et rende une nouvelle décision à ce propos. Il lui incombera en particulier de procéder à une pesée des intérêts en présence et de tenir compte en particulier de la situation du locataire restant à la lumière des circonstances nouvelles intervenues entre-temps, notamment le départ de la colocataire M.________..</w:t>
      </w:r>
    </w:p>
    <w:p>
      <w:r>
        <w:rPr>
          <w:b/>
        </w:rPr>
        <w:t>E. 4</w:t>
      </w:r>
    </w:p>
    <w:p>
      <w:r>
        <w:t>En conclusion, le jugement doit être annulé d'office et la cause renvoyée au Tribunal des baux pour nouvelle instruction et nouveau jugement dans le sens des considérants. Les frais de deuxième instance du recourant sont arrêtés à 1'200 fr. (art. 232 aTFJC [tarif du 4 décembre 1984 des frais judicaires en matière civile]). Obtenant gain de cause sur la question de la validité du congé et conformément à l'injonction du Tribunal fédéral de statuer sur les frais et dépens de la procédure cantonale, le recourant a droit à des dépens de deuxième instance, fixés à 3'000 fr. (art. 91 et 92 CPC-VD; art. 2 al. 1 ch. 33, art. 3 et 5 ch. 2 TAv [tarif du 17 juin 1986 des honoraires d'avocat dus à titre de dépens]). Par ces motifs, la Chambre des recours du Tribunal cantonal, statuant en audience publique, prononce : I. Le jugement est annulé d'office. II.              La cause est renvoyée au Tribunal des baux pour nouvelle instruction et nouveau jugement dans le sens des considérants. III.              Les frais de deuxième instance du recourant sont arrêtés à 1'200 fr. (mille deux cents francs). IV.              Les intimés Q.________ et M.________, solidairement entre eux, doivent verser au recourant B.________ la somme de 3'000 fr. (trois mille francs) à titre de dépens de deuxième instance. V.              L'arrêt motivé est exécutoire. Le président :               Le greffier : Du 15 février 2012 Le dispositif de l'arrêt qui précède est communiqué par écrit aux intéressés. Le greffier : Du L'arrêt qui précède, dont la rédaction a été approuvée à huis clos, est notifié en expédition complète, par l'envoi de photocopies à : ‑ Me Tony Donnet-Monay (pour B.________), ‑ Me Coralie Germond (pour Q.________), - Mme M.________.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