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86 vom 6. Juli 2011</w:t>
      </w:r>
    </w:p>
    <w:p>
      <w:r>
        <w:t>VD Tribunal cantonal, 2011-07-06, FR</w:t>
      </w:r>
    </w:p>
    <w:p>
      <w:r>
        <w:rPr>
          <w:b/>
        </w:rPr>
        <w:t xml:space="preserve">Quelle: </w:t>
      </w:r>
      <w:r>
        <w:t>https://mcp.opencaselaw.ch/entscheid/vd_findinfo_AP___2011___86</w:t>
      </w:r>
    </w:p>
    <w:p>
      <w:r>
        <w:t>FR: VD_FINDINFO AP / 2011 / 86 du 6 juillet 2011</w:t>
      </w:r>
    </w:p>
    <w:p>
      <w:r>
        <w:t>IT: VD_FINDINFO AP / 2011 / 86 del 6 luglio 2011</w:t>
      </w:r>
    </w:p>
    <w:p>
      <w:pPr>
        <w:pStyle w:val="Heading2"/>
      </w:pPr>
      <w:r>
        <w:t>Regeste</w:t>
      </w:r>
    </w:p>
    <w:p>
      <w:r>
        <w:t>SUSPENSION DE LA PROCÉDURE, BAIL À LOYER | 123 CPC, 124a CPC, 452 CPC</w:t>
      </w:r>
    </w:p>
    <w:p>
      <w:pPr>
        <w:pStyle w:val="Heading2"/>
      </w:pPr>
      <w:r>
        <w:t>Erwägungen</w:t>
      </w:r>
    </w:p>
    <w:p>
      <w:r>
        <w:rPr>
          <w:b/>
        </w:rPr>
        <w:t>E. 1</w:t>
      </w:r>
    </w:p>
    <w:p>
      <w:r>
        <w:t>CPC-VD prévoit que les parties peuvent recourir au Tribunal cantonal dans les cas prévus par la loi pour faire prononcer la nullité du jugement objet du recours ou pour le faire réformer. En l'espèce, le recourant a uniquement conclu à la réforme du jugement entrepris. Interjeté en temps utile (art. 458 CPC-VD), le recours est ainsi recevable. c) En matière de recours en réforme contre un jugement incident rendu par le Tribunal des baux, le pouvoir d'examen de la Chambre des recours correspond à celui qu'elle a en matière de jugement rendu en procédure sommaire tel que défini à l'art. 452 al. 1ter CPC-VD (JT 2003 III 16 c. 2a). La Chambre des recours revoit en conséquence librement la cause en fait et en droit (art. 452 al. 2 CPC-VD). Les parties ne peuvent toutefois articuler des faits nouveaux, sous réserve de ceux résultant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son raisonnement juridique après avoir vérifié la conformité de l'état de fait du jugement aux preuves figurant au dossier et l'avoir, le cas échéant, corrigé ou complété (JT 2003 III 3). En l'espèce, l'état de fait du jugement est conforme aux pièces du dossier. Il n'y a pas lieu de retrancher le jugement incident rendu par le Président du Tribunal d'arrondissement de l'Est vaudois le 13 mai 2011 et produit par le recourant à l'appui de sa requête de mesures provisionnelles.</w:t>
      </w:r>
    </w:p>
    <w:p>
      <w:r>
        <w:rPr>
          <w:b/>
        </w:rPr>
        <w:t>E. 2</w:t>
      </w:r>
    </w:p>
    <w:p>
      <w:r>
        <w:t>Le recourant demande la reprise de l'instruction du procès qui est pendant devant le Tribunal des baux. Selon l'art. 123 CPC-VD, le juge peut suspendre l'instruction du procès pour un temps déterminé en cas de nécessité. Selon la jurisprudence, la condition de la nécessité posée par cette disposition doit être interprétée de manière restrictive, la suspension étant un acte grave et exceptionnel, qui exige la réalisation effective d'un état de nécessité dont il appartient au juge d'apprécier l'existence (JT 2002 III 186 c. 2; JT 1993 III 113 c. 3a; JT 1984 III 11 c. 2a). La suspension se justifie en particulier lorsque le sort du procès peut dépendre de l'issue d'une autre procédure, civile, pénale ou administrative, sans qu'il y ait pour autant litispendance, afin d'éviter des jugements même indirectement contradictoires (Poudret/Haldy/Tappy, op. cit., n. 3 ad art. 123 CPC-VD, p. 235). La connexité entre deux actions ne suffit cependant pas en soi à justifier la suspension de l'un des procès (JT 1984 III 11 c. 2b; JT 1969 III 113; JT 1967 III 113; Reymond, L'exception de litispendance, thèse Lausanne 1991, pp. 207ss). Une suspension de la procédure peut donc se justifier par des raisons d'opportunité, le principe de la célérité qui découle de l'art. 29 al. 1 Cst. (Constitution fédérale du 18 avril 1999 ; RS 101) posant toutefois des limites à la suspension de la procédure. Ainsi, celle-ci ne doit être admise qu'exceptionnellement, lorsqu'il s'agit d'attendre le prononcé de la décision d'une autre autorité qui permettrait de trancher une question décisive (ATF 130 V 90 c. 5 p. 95 et les références). En l'espèce, le Tribunal des baux a relevé que, dans leur mémoire-demande adressé au Président du Tribunal d'arrondissement de l'Est vaudois le 17 décembre 2010, les intimés ont notamment allégué que le "contrat de bail" litigieux serait illicite, soit nul, soutenant que le logement objet du contrat devrait être intégré au bail à ferme agricole. Il a par ailleurs estimé que pour se prononcer sur le bien-fondé des conclusions prises par le recourant dans sa requête au fond du 30 juin 2010 – à savoir constater que le bail conclu en 2009 est échu, déclarer que l'occupation future des locaux ne donne pas naissance à un nouveau bail et ordonner que les locataires quittent les lieux à une date à convenir – il devrait examiner d'office la validité du contrat litigieux, mais à titre de question préalable seulement, les conclusions en constatation de la nullité faisant défaut. Selon le Tribunal des baux, son appréciation sur cette question ne serait ainsi pas revêtue de la force de chose jugée qui ne s'attache qu'au dispositif du jugement et non pas aux faits et considérants en droit (Poudret/Haldy/Tappy, op. cit., n. 3 ad art. 475 CPC-VD). Estimant qu'il y avait un risque manifeste de jugements indirectement contradictoires, le Tribunal des baux a prononcé la suspension de la cause jusqu'à droit connu sur la procédure introduite devant le Président du Tribunal d'arrondissement de l'Est vaudois saisi en second lieu, le contrat de bail à ferme agricole relevant de la compétence ratione materiae de ce dernier.</w:t>
      </w:r>
    </w:p>
    <w:p>
      <w:r>
        <w:rPr>
          <w:b/>
        </w:rPr>
        <w:t>E. 3</w:t>
      </w:r>
    </w:p>
    <w:p>
      <w:r>
        <w:t>En l'espèce, la requête en déclinatoire a été rejetée par le Tribunal des baux. Toutefois, on ne saurait déduire de sa compétence impérative et exclusive en matière de baux à loyer portant sur des choses immobilières ainsi qu'en matière de baux à ferme non agricoles une interdiction de suspendre la procédure. En effet, la question de savoir si le contrat litigieux relève du bail à ferme agricole, auquel cas il serait exclu de la compétence du Tribunal des baux, est décisive, comme le démontrent du reste les développements du recourant en rapport avec la qualification du contrat litigieux. Le risque de jugements indirectement contradictoires est patent et justifie de suspendre la présente cause jusqu'à ce que l'autorité compétente pour trancher à titre principal la question de la qualification du contrat – que le Tribunal des baux ne pouvait examiner qu'à titre préalable – ait statué. Des motifs d'économie de procès plaident pour ne pas laisser les deux instances se dérouler en parallèle (ATF 128 III 284 c. 3b/bb). Enfin, il importe peu que le Tribunal des baux ait été saisi en premier lieu. Le fait que les conditions de l'art. 123a CPC-VD ne sont pas réalisées n'empêche pas une suspension fondée sur l'art. 123 CPC-VD, en cas de nécessité, comme en l'espèce. Au vu de l'ensemble de ces éléments, la décision de suspension n'apparaît pas comme contraire aux principes énoncés ci-avant.</w:t>
      </w:r>
    </w:p>
    <w:p>
      <w:r>
        <w:rPr>
          <w:b/>
        </w:rPr>
        <w:t>E. 4</w:t>
      </w:r>
    </w:p>
    <w:p>
      <w:r>
        <w:t>En conclusion, le recours doit être rejeté et le jugement confirmé. Les frais de deuxièmes instance du recourant sont arrêtés à 500 fr. (art. 232 aTFJC [tarif du 4 décembre 1984 des frais judiciaires en matière civile]). Obtenant gain de cause, les intimés ont droit à des dépens de deuxième instance, fixés à 660 fr. (art. 92 al. 1 CPC-VD; art. 3, 4 et 5 aTAv [tarif des honoraires d'avocat dus à titre de dépens du 17 juin 1986]). Par ces motifs, la Chambre des recours du Tribunal cantonal, statuant en audience publique, prononce : I.              Le recours est rejeté. II.              Le jugement est confirmé. III.              Les frais de deuxième instance du recourant sont arrêtés à 500 fr. (cinq cents francs). IV.              Le recourant C.________ doit verser aux intimés Q.________, solidairement entre eux, la somme de 660 fr. (six cent soixante francs) à titre de dépens de deuxième instance. V.              L'arrêt motivé est exécutoire. Le président :               La greffière : Du</w:t>
      </w:r>
    </w:p>
    <w:p>
      <w:r>
        <w:rPr>
          <w:b/>
        </w:rPr>
        <w:t>E. 6</w:t>
      </w:r>
    </w:p>
    <w:p>
      <w:r>
        <w:t>juillet 2011 Le dispositif de l'arrêt qui précède est communiqué par écrit aux intéressés. La greffière : Du L'arrêt qui précède, dont la rédaction a été approuvée à huis clos, est notifié en expédition complète, par l'envoi de photocopies à : ‑ Me Philippe Reymond, pour C.________, ‑ Me Jean-Claude Mathey, pour Q.________.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