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84 vom 13. April 2010</w:t>
      </w:r>
    </w:p>
    <w:p>
      <w:r>
        <w:t>VD Tribunal cantonal, 2010-04-13, FR</w:t>
      </w:r>
    </w:p>
    <w:p>
      <w:r>
        <w:rPr>
          <w:b/>
        </w:rPr>
        <w:t xml:space="preserve">Quelle: </w:t>
      </w:r>
      <w:r>
        <w:t>https://mcp.opencaselaw.ch/entscheid/vd_findinfo_AP___2011___84</w:t>
      </w:r>
    </w:p>
    <w:p>
      <w:r>
        <w:t>FR: VD_FINDINFO AP / 2011 / 84 du 13 avril 2010</w:t>
      </w:r>
    </w:p>
    <w:p>
      <w:r>
        <w:t>IT: VD_FINDINFO AP / 2011 / 84 del 13 aprile 2010</w:t>
      </w:r>
    </w:p>
    <w:p>
      <w:pPr>
        <w:pStyle w:val="Heading2"/>
      </w:pPr>
      <w:r>
        <w:t>Regeste</w:t>
      </w:r>
    </w:p>
    <w:p>
      <w:r>
        <w:t>CONTRAT DE TRAVAIL, PROTECTION CONTRE LES CONGÉS, GROSSESSE, DROIT AU SALAIRE, TREIZIÈME SALAIRE, CONGÉ DE MATERNITÉ, DEMEURE | 324a al. 1 CO, 324a al. 2 CO, 324a al. 3 CO, 324b CO, 336 al. 1 let. d CO, 336b al. 1 CO, 336b al. 2 CO, 336c al. 1 let. c CO, 336c al. 2 CO, 336c al. 3 CO, 209 al. 1 CPC, 451 ch. 2 CPC, 35a LTr</w:t>
      </w:r>
    </w:p>
    <w:p>
      <w:pPr>
        <w:pStyle w:val="Heading2"/>
      </w:pPr>
      <w:r>
        <w:t>Erwägungen</w:t>
      </w:r>
    </w:p>
    <w:p>
      <w:r>
        <w:rPr>
          <w:b/>
        </w:rPr>
        <w:t>E. 5</w:t>
      </w:r>
    </w:p>
    <w:p>
      <w:r>
        <w:t>En définitive, les deux recours sont admis partiellement et le jugement réformé dans le sens qui précède. Les frais de deuxième instance de la recourante Q.________ sont arrêtés à 485 fr. et ceux de la recourante F.________SA à 175 francs (art. 230 al. 1 TFJC [tarif du 4 décembre 1984 des frais judiciaires en matière civile] applicable par renvoi de l'art. 232 al. 2 TFJC, art. 232 al. 1 et 235 TFJC, art. 10 al. 2 LJT [loi du 17 mai 1999 sur la juridiction du travail]). Des dépens réduits de deuxième instance, par 1'085 fr., sont alloués à la recourante Q.________ qui obtient gain de cause partiellement dans son recours (art. 91 et 92 al. 2 CPC-VD) et l'emporte dans son résultat dans le recours de F.________SA. Q.________ a conclu à l'allocation de dépens de première instance, les premiers juges ayant renoncé à allouer de tels dépens dès lors que les parties avaient chacune obtenu partiellement gain de cause (art. 92 al. 2 CPC-VD). Dans cette mesure, il, y a lieu de rejeter la conclusion Q.________ tendant à l'allocation de dépens de première instance. Par ces motifs, la Chambre des recours du Tribunal cantonal, statuant en audience publique, prononce : I. Les recours sont partiellement admis. II. Le jugement est réformé au chiffre III de son dispositif, ainsi que par l'introduction d'un chiffre III bis, comme il suit : III. dit que F.________SA est la débitrice de Q.________ et lui doit immédiat paiement du montant de 8'533 fr. 30 (huit mille cinq cent trente-trois francs et trente centimes), sous déduction des cotisations sociales usuelles, avec intérêt à 5 % l'an dès le 31 octobre 2008. III bis. dit que Q.________ est la débitrice de F.________SA et lui doit immédiat paiement du montant de 247 fr. (deux cent quarante-sept francs), avec intérêt à 5 % l'an dès le 18 mai 2009. Le jugement est confirmé pour le surplus. III. Les frais de deuxième instance de la recourante Q.________ sont arrêtés à 485 fr. (quatre cent huitante-cinq francs), ceux de la recourante F.________SA sont arrêtés à 175 fr. (cent septante-cinq francs). IV. La recourante F.________SA doit verser à la recourante Q.________ la somme de 1'085 fr. (mille huitante-cinq francs) à titre de dépens de deuxième instance. V. L'arrêt motivé est exécutoire. Le président :               Le greffier : Du 16 mars 2011 Le dispositif de l'arrêt qui précède est communiqué par écrit aux intéressés. Le greffier : Du L'arrêt qui précède, dont la rédaction a été approuvée à huis clos, est notifié en expédition complète, par l'envoi de photocopies à : ‑ Me Stéphane Ducret (pour Q.________), ‑ Me Jérôme Bénédict (pour F.________SA). La Chambre des recours considère que la valeur litigieuse est de 67'063 fr. pour Q.________ et de 4'372 fr. pour F.________SA.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