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81 vom 12. Februar 2010</w:t>
      </w:r>
    </w:p>
    <w:p>
      <w:r>
        <w:t>VD Tribunal cantonal, 2010-02-12, FR</w:t>
      </w:r>
    </w:p>
    <w:p>
      <w:r>
        <w:rPr>
          <w:b/>
        </w:rPr>
        <w:t xml:space="preserve">Quelle: </w:t>
      </w:r>
      <w:r>
        <w:t>https://mcp.opencaselaw.ch/entscheid/vd_findinfo_AP___2011___81</w:t>
      </w:r>
    </w:p>
    <w:p>
      <w:r>
        <w:t>FR: VD_FINDINFO AP / 2011 / 81 du 12 février 2010</w:t>
      </w:r>
    </w:p>
    <w:p>
      <w:r>
        <w:t>IT: VD_FINDINFO AP / 2011 / 81 del 12 febbraio 2010</w:t>
      </w:r>
    </w:p>
    <w:p>
      <w:pPr>
        <w:pStyle w:val="Heading2"/>
      </w:pPr>
      <w:r>
        <w:t>Regeste</w:t>
      </w:r>
    </w:p>
    <w:p>
      <w:r>
        <w:t>BAIL À LOYER, RÉSILIATION, TRANSACTION JUDICIAIRE, PROCÉDURE DE CONCILIATION, AVIS DES DÉFAUTS, MAINLEVÉE DÉFINITIVE, OPPOSITION{LP}, ÉTAT DES LIEUX{CHOSE LOUÉE}, PROCÈS-VERBAL, PRINCIPE DE LA CONFIANCE{INTERPRÉTATION DU CONTRAT} | 257e al. 3 CO, 267 al. 1 CO, 267a CO, 444 CPC, 445 CPC, 451 ch. 2 CPC, 452 al. 1ter CPC, 452 al. 2 CPC, 11 LTB, 13 LTB, 2 al. 6 RULV,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23 février 2010. Sont donc applicables les dispositions en vigueur à cette date, en particulier celles contenues dans la LTB (loi du 13 décembre 1981 sur le Tribunal des baux) et dans le CPC-VD (Code de procédure civile du canton de Vaud du 14 décembre 1966). b) Les art. 444, 445 et 451 ch. 2 CPC-VD, applicables par renvoi de l'art. 13 LTB, ouvrent la voie des recours en nullité et en réforme contre les jugements principaux rendus par le Tribunal des baux. Déposé en temps utile, le recours tend principalement à la réforme, subsidiairement à la nullité du jugement entrepris. Comportant en outre des conclusions similaires à celles déposées par les recourants en première instance (art. 452 al. 1 CPC-VD), le recours est recevable.</w:t>
      </w:r>
    </w:p>
    <w:p>
      <w:r>
        <w:rPr>
          <w:b/>
        </w:rPr>
        <w:t>E. 2</w:t>
      </w:r>
    </w:p>
    <w:p>
      <w:r>
        <w:t>En règle générale, la Chambre des recours délibère en premier lieu sur les moyens de nullité (art. 470 al. 1 CPC-VD). A cet égard, les recourants font d'abord grief aux premiers juges de ne pas avoir fait droit à leur requête d'audition de témoins à l'audience du 12 février 2010, refusant ainsi d'instruire la question des frais de remise en état de la chose louée. Ce grief doit être examiné sous l'angle de l'art. 445 al. 1 ch. 2 CPC-VD (rejet injustifié de conclusions incidentes), plutôt que sous l'angle de l'art. 444 al. 1 ch. 3 CPC-VD. Déterminer si un tribunal a rejeté à tort des conclusions incidentes qui tendaient à une mesure d'instruction complémentaire revient à juger du caractère arbitraire d'une telle mesure. Echappe à un tel grief le refus qui se fonde sur une appréciation anticipée des moyens de preuves. Autrement dit, le juge est autorisé à effectuer une appréciation anticipée des preuves déjà disponibles et, s'il peut admettre de façon exempte d'arbitraire qu'une preuve supplémentaire offerte par la partie serait impropre à ébranler sa conviction, refuser d'administrer cette preuve (Byrde/Giroud Walther/Hack, Procédures spéciales vaudoises, Lausanne 2008, n. 8 ad art. 11 LTB). En l'espèce, les premiers juges ont rejeté les mesures d'instruction complémentaires requises par les recourants à l'audience de jugement en indiquant qu'ils s'estimaient suffisamment renseignés sur les faits de la cause pour lesquels l'audition des témoins était requise. Cette décision échappe à la critique. Au surplus, dans la mesure où l'éventuelle irrégularité invoquée peut être corrigée dans le cadre du recours en réforme ouvert en l'occurrence (art. 445 al. 1 ch. 2 in fine CPC-VD), le moyen soulevé apparaît irrecevable en nullité. Les recourants reprochent ensuite aux premiers juges de n'avoir pas instruit de manière satisfaisante leur prétention en dommages et intérêts contractuels pour vacance locative. Un tel moyen relève de l'appréciation arbitraire des preuves sanctionnée par l'art. 444 al. 1 ch. 3 CPC-VD. Or, un éventuel vice sur le point invoqué est susceptible d'être corrigé dans le cadre du recours en réforme, vu le large pouvoir d'examen en fait conféré à la Chambre des recours par les art. 452 et 456a CPC-VD pour ce recours, de sorte que ce grief est irrecevable en nullité (Poudret/Haldy/Tappy, Procédure civile vaudoise, 3 ème éd., Lausanne 2002, n. 14 ad art. 444 CPC-VD). Enfin, les recourants font grief aux premiers juges de n'avoir pas tenté la conciliation, contrairement à la prescription de l'art. 11 LTB. Toutefois, le procès-verbal de l'audience du 12 février 2010 mentionne expressément que " La conciliation est tentée, en vain ". Le procès-verbal d'audience fait foi des indications qu'il comporte et dont l'inexactitude n'est pas prouvée (cf. art. 9 CC [Code civil suisse du 10 décembre 1907; RS 210]). En l'occurrence, les recourants n'allèguent pas que les mentions figurant au procès-verbal seraient inexactes, et il n'existe en l'état aucun élément laissant penser que tel serait le cas. Dès lors, on ne saurait douter que la phase conciliatoire ait bien eu lieu. Au demeurant, l'obligation de tenter la conciliation s'interprète comme une règle d'ordre et non comme une règle essentielle de la procédure (Byrde/Giroud Walther/Hack, op. cit., n. 2 ad art. 11 LTB). Mal fondé, ce dernier moyen de nullité doit ainsi être rejeté. Cela étant, il convient de passer à l'examen du recours en réforme.</w:t>
      </w:r>
    </w:p>
    <w:p>
      <w:r>
        <w:rPr>
          <w:b/>
        </w:rPr>
        <w:t>E. 3</w:t>
      </w:r>
    </w:p>
    <w:p>
      <w:r>
        <w:t>Dans le cadre du recours en réforme, la Chambre des recours revoit librement la cause en fait et en droit (art. 452 aI.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Elle développe donc son raisonnement juridique sur la base de l'état de fait du jugement, après en avoir vérifié la conformité aux preuves figurant au dossier et l'avoir, le cas échéant, corrigé ou complété au moyen de celles-ci (JT 2003 III 3). En l'espèce, l'état de fait du jugement, conforme aux pièces du dossier, a été complété sur la base de celles-ci dans le cadre du pouvoir d'examen de la cour de céans.</w:t>
      </w:r>
    </w:p>
    <w:p>
      <w:r>
        <w:rPr>
          <w:b/>
        </w:rPr>
        <w:t>E. 4</w:t>
      </w:r>
    </w:p>
    <w:p>
      <w:r>
        <w:t>a) Les recourants précisent d'emblée renoncer à leur prétention de première instance concernant des frais accessoires au sens de l'art. 257a al. 2 CO, par 1'357 fr. 85. b) En premier lieu, les recourants réclament le paiement de 2'985 fr. au titre de loyers dus par l'intimée jusqu'au 31 octobre 2007. Cette prétention a toutefois déjà fait l'objet d'une transaction judiciaire et a donné lieu à une décision de mainlevée définitive, de sorte qu'il n'existe plus d'intérêt juridique à trancher l'existence de cette créance déjà reconnue en justice et en poursuite. Cette conclusion des recourants doit ainsi être rejetée.</w:t>
      </w:r>
    </w:p>
    <w:p>
      <w:r>
        <w:rPr>
          <w:b/>
        </w:rPr>
        <w:t>E. 5</w:t>
      </w:r>
    </w:p>
    <w:p>
      <w:r>
        <w:t>Les recourants réclament ensuite le paiement par l'intimée de frais de remise en état de l'appartement objet du bail à concurrence de 20'020 fr. 75 (cf. jugement en pages 2 et 3). a) A la fin du bail, le locataire doit restituer la chose dans l'état qui résulte d'un usage conforme au contrat (art. 267 al. 1 CO). En particulier, le locataire doit assumer les dégâts qui ne résultent pas d'un usage normal de la chose louée (Lachat, Le bail à loyer, Lausanne 2008, n. 5.1 p. 807). L'art. 267a CO prévoit que, lors de la restitution, le bailleur doit vérifier l'état de la chose et aviser immédiatement le locataire des défauts dont celui-ci répond (al. 1). Si le bailleur néglige de le faire, le locataire est déchargé de toute responsabilité, à moins qu'il ne s'agisse de défauts qui ne pouvaient pas être découverts à l'aide des vérifications usuelles (al. 2). Le bailleur doit donner cet avis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Übergabe der Mietsache bei Vertragsbeginn und -ende, in MP 1992 pp. 57 ss); deux ou trois jours, mais pas plus d'une semaine, soit sept jours (CdB 1997 p. 26; Zehnder, Die Mängelrüge im Kauf-, Werkvertrags- und Mietrecht, in RSJ 2000 pp. 545 ss et SVIT-Kommentar, Das schweizerische Mietrecht, 3 ème éd., 2008, n. 35 ad art. 267-267a CO - tous ces auteurs sont cités par Lachat, op. cit., à la note infrapaginale 20 p. 805). L'avis des défauts doit être précis et détaillé. Il doit comporter, de manière reconnaissable pour le locataire, la liste des dégâts dont il est tenu responsable (Lachat, op. cit., n. 4.3 p. 806). En cas de litige, le bailleur doit démontrer qu'il a donné à temps l'avis des défauts, et que celui-ci était suffisamment précis (Lachat, op. cit., n. 4.5 p. 807). Lorsque l'état des lieux de sortie est établi contradictoirement et qu'il est signé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Bâle 2010, nn. 15 et 17 ad art. 267a CO et la jurisprudence citée). b) En l'espèce, s'il est exact que le constat a été établi contradictoirement et a été signé par la locataire, on ne peut par contre pas affirmer que l'état des lieux de sortie est suffisamment précis et compréhensible au sujet des dégâts imputés à l'intéressée. L'examen de la pièce 7 du bordereau des demandeurs, à laquelle se réfèrent les recourants, ne permet en effet pas de déterminer quelle serait la liste des défauts dont la locataire est tenue pour responsable. Le document mélange ainsi des mentions portant sur la vétusté de certaines installations (" baignoire à remplacer (vétuste) ", " plaques usagées ", " vitrocéramique ancienne ") avec des dégâts qui sont apparemment reprochés à la locataire (porte et poignées cassées, saleté, taches, etc...) sans qu'il soit possible de comprendre quels sont les dégâts en définitive retenus et signifiés au locataire pour valoir avis des défauts. Il est vrai que la pièce</w:t>
      </w:r>
    </w:p>
    <w:p>
      <w:r>
        <w:rPr>
          <w:b/>
        </w:rPr>
        <w:t>E. 7</w:t>
      </w:r>
    </w:p>
    <w:p>
      <w:r>
        <w:t>Les recourants concluent enfin à la libération en leur faveur de la garantie de loyer constituée par l'intimée, le montant versé initialement étant de 3'360 francs (cf. pièce 3 des demandeurs). L'art. 2 al. 6 RULV déroge à l'art. 257e al. 3 CO (Lachat, op. cit., p. 362; Sulliger/Ansermet, Le contrat-cadre romand de baux à loyer et les Dispositions paritaires romandes et Règles et usages locatifs du Canton de Vaud, in CdB 2002 p. 97, spéc. 104). Il prévoit que le retrait de tout ou partie des sommes ou valeurs déposées à titre de garantie ne peut être effectué que sous la double signature du bailleur et du locataire ou en vertu d'une décision judiciaire. La question de savoir si un prononcé de mainlevée provisoire devenu définitif permet d'obtenir la libération de la garantie en vertu de l'art. 2 al. 6 RULV est discutée. On doit admettre que tel est le cas, le juge de la mainlevée ne levant l'opposition que sur la base de pièces établissant le droit du bailleur (Sulliger/Ansermet, op. cit., p. 104 note infrapaginale 23; Higi, Zürcher Kommentar, 1994, n. 40 ad art. 257e CO). En l'espèce, l'opposition formée par l'intimée au commandement de payer qui lui avait été notifié le 10 juin 2009 a été levée par le juge de paix à concurrence du montant de 2'985 francs, par décision du 27 novembre 2009 (cf. jugement, p. 4). Contrairement à ce qu'ont considéré les premiers juges, l'art. 2 RULV ne s'oppose nullement à la libération de la garantie de loyer au profit des recourants à concurrence de cette somme, en application de l'art. 257e al. 3 CO, puisqu'ils disposent d'un titre de mainlevée définitive pour le montant précité. Le recours doit ainsi être admis dans cette mesure.</w:t>
      </w:r>
    </w:p>
    <w:p>
      <w:r>
        <w:rPr>
          <w:b/>
        </w:rPr>
        <w:t>E. 8</w:t>
      </w:r>
    </w:p>
    <w:p>
      <w:r>
        <w:t>Cela étant, le recours doit être partiellement admis et le jugement attaqué réformé dans le sens des considérants précédents. Les frais de deuxième instance des recourants, solidairement entre eux, sont arrêtés à 654 fr. (art. 232 al. 1 aTFJC [tarif du 4 décembre 1984 des frais judiciaires en matière civile]). Par une inadvertance manifeste, le dispositif de l'arrêt notifié aux parties mentionne au chiffre III que les frais de deuxième instance des recourants sont arrêtés à 645 fr. (six cent quarante-cinq francs). Cette erreur sera rectifiée dans le présent arrêt. Dès lors que les recourants n'obtiennent gain de cause que sur un élément accessoire, il n'y a pas lieu de leur allouer des dépens (art. 91 et 92 CPC-VD). Par ces motifs, la Chambre des recours du Tribunal cantonal, statuant en audience publique, prononce : I. Le recours est partiellement admis. II. Le jugement est réformé au chiffre I de son dispositif et complété par un chiffre Ibis comme il suit : I. La garantie locative n° [...] auprès de la Banque X.________ à [...] est libérée au bénéfice des bailleurs A.K.________, B.K.________, A.J.________ et B.J.________, solidairement entre eux, à concurrence du montant de 2'985 francs (deux mille neuf cent huitante-cinq francs). Ibis. Toutes autres ou plus amples conclusions sont rejetées. Le jugement est confirmé pour le surplus. III. Les frais de deuxième instance des recourants A.K.________, B.K.________, A.J.________ et B.J.________, solidairement entre eux, sont arrêtés à 654 fr. (six cent cinquante-quatre francs). IV. Il n'est pas alloué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Christian Dénériaz (pour A.K.________, B.K.________, A.J.________ et B.J.________), ‑ F.________. La Chambre des recours considère que la valeur litigieuse est de 35'471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