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77 vom 22. Juni 2011</w:t>
      </w:r>
    </w:p>
    <w:p>
      <w:r>
        <w:t>VD Tribunal cantonal, 2011-06-22, FR</w:t>
      </w:r>
    </w:p>
    <w:p>
      <w:r>
        <w:rPr>
          <w:b/>
        </w:rPr>
        <w:t xml:space="preserve">Quelle: </w:t>
      </w:r>
      <w:r>
        <w:t>https://mcp.opencaselaw.ch/entscheid/vd_findinfo_AP___2011___77</w:t>
      </w:r>
    </w:p>
    <w:p>
      <w:r>
        <w:t>FR: VD_FINDINFO AP / 2011 / 77 du 22 juin 2011</w:t>
      </w:r>
    </w:p>
    <w:p>
      <w:r>
        <w:t>IT: VD_FINDINFO AP / 2011 / 77 del 22 giugno 2011</w:t>
      </w:r>
    </w:p>
    <w:p>
      <w:pPr>
        <w:pStyle w:val="Heading2"/>
      </w:pPr>
      <w:r>
        <w:t>Regeste</w:t>
      </w:r>
    </w:p>
    <w:p>
      <w:r>
        <w:t>RELIEF, DÉCISION DE RENVOI | 305 al. 2 CPC, 311 CPC, 313 CPC</w:t>
      </w:r>
    </w:p>
    <w:p>
      <w:pPr>
        <w:pStyle w:val="Heading2"/>
      </w:pPr>
      <w:r>
        <w:t>Erwägungen</w:t>
      </w:r>
    </w:p>
    <w:p>
      <w:r>
        <w:rPr>
          <w:b/>
        </w:rPr>
        <w:t>E. 1</w:t>
      </w:r>
    </w:p>
    <w:p>
      <w:r>
        <w:t>a) A teneur de l’art. 405 al. 1 CPC (Code de procédure civile suisse du 19 décembre 2008, RS 272), les recours sont régis par le droit en vigueur au moment de la communication de la décision aux parties. Bien que le jugement incident attaqué ait été communiqué aux parties après l’entrée en vigueur du CPC, la question du droit applicable se pose en l’espèce et doit être examinée. Le recours est dirigé contre un jugement incident au sens du CPC-VD (Code de procédure civile vaudoise du 14 décembre 1966) déclarant irrecevable une demande de relief (art. 311 et 313 CPC-VD). En raison du curieux déroulement de la procédure, le recours émane en l’espèce de la partie qui a finalement bénéficié du relief ensuite du prononcé rectificatif du 31 janvier 2011 qui n’a pas été contesté. Si le recours émanait de l’autre partie, on pourrait considérer que le recours, s’il était admis, pourrait déboucher sur une décision finale, le rejet du relief rendant définitif le jugement par défaut, ce qui ouvrirait le recours du nouveau droit en application de l’art. 405 al. 1 CPC. Dans la configuration particulière du cas d’espèce, la cour de céans ne peut toutefois prendre aucune décision pouvant être qualifiée de finale ; que le recours soit admis ou rejeté, il ne sera en effet pas mis fin à l’instance. Dès lors qu’il convient de limiter le champ d’application de l’art. 405 al. 1 CPC aux seules décisions finales et de considérer que les possibilités de contester des décisions incidentes ou sur incident relèvent exclusivement du droit déclaré applicable par l’art. 404 al. 1 CPC (Tappy, Le droit transitoire applicable lors de l’introduction de la nouvelle procédure civile unifiée, in JT 2010 III 11 ss, p. 37), les voies de droit demeurent donc régies par le droit de procédure cantonal, s’agissant d’une décision prise en cours d’instance, ce qui a déjà été communiqué aux parties par courrier du 1 er mars 2011. b) L’art. 313 CPC-VD ouvre la voie du recours contre toute décision statuant sur une demande de relief. Cette règle a une portée générale et s’applique également en procédure ordinaire devant le juge de paix (Poudret/Haldy/Tappy, Procédure civile vaudoise,</w:t>
      </w:r>
    </w:p>
    <w:p>
      <w:r>
        <w:rPr>
          <w:b/>
        </w:rPr>
        <w:t>E. 3</w:t>
      </w:r>
    </w:p>
    <w:p>
      <w:r>
        <w:t>En définitive, le recours doit être admis, dans la mesure où il est recevable, et la demande de renvoi accordée. Les frais de deuxième instance du recourant sont arrêtés à 350 fr. (art. 230 TFJC [Tarif des frais judiciaires en matière civile du 4 décembre 1984]). Obtenant gain de cause, le recourant a droit à des dépens, qu’il convient de fixer à 1'000 fr., soit 350 fr. en remboursement de ses frais de justice et 650 fr., au titre de participation aux honoraires de son conseil (art. 4 TAg [Tarif des honoraires d’agent d’affaires breveté dus à titre de dépens du 22 février 1972]). Par ces motifs, la Chambre des recours du Tribunal cantonal, statuant en audience publique, prononce : I. Le recours est admis dans la mesure où il est recevable. II. La demande de renvoi d’audience présentée le 11 novembre 2010 par le recourant est accordée. III. Les frais de deuxième instance du recourant sont arrêtés à 350 fr. (trois cent cinquante francs). IV. L’intimé W.________ doit payer au recourant R.________ la somme de 1'000 fr. (mille francs) à titre de dépens de deuxième instance. V. L’arrêt motivé est exécutoire. Le président : Le greffier : Du 22 juin 2011 Le dispositif de l'arrêt qui précède est communiqué par écrit aux intéressés. Le greffier : Du L'arrêt qui précède, dont la rédaction a été approuvée à huis clos, est notifié en expédition complète, par l'envoi de photocopies à : ‑ Mme Geneviève Gehrig (pour R.________) ‑ M. Serge Maret (pour W.________) La Chambre des recours considère que la valeur litigieuse est de 7'721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