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70 vom 8. April 2010</w:t>
      </w:r>
    </w:p>
    <w:p>
      <w:r>
        <w:t>VD Tribunal cantonal, 2010-04-08, FR</w:t>
      </w:r>
    </w:p>
    <w:p>
      <w:r>
        <w:rPr>
          <w:b/>
        </w:rPr>
        <w:t xml:space="preserve">Quelle: </w:t>
      </w:r>
      <w:r>
        <w:t>https://mcp.opencaselaw.ch/entscheid/vd_findinfo_AP___2011___70</w:t>
      </w:r>
    </w:p>
    <w:p>
      <w:r>
        <w:t>FR: VD_FINDINFO AP / 2011 / 70 du 8 avril 2010</w:t>
      </w:r>
    </w:p>
    <w:p>
      <w:r>
        <w:t>IT: VD_FINDINFO AP / 2011 / 70 del 8 aprile 2010</w:t>
      </w:r>
    </w:p>
    <w:p>
      <w:pPr>
        <w:pStyle w:val="Heading2"/>
      </w:pPr>
      <w:r>
        <w:t>Regeste</w:t>
      </w:r>
    </w:p>
    <w:p>
      <w:r>
        <w:t>BAIL À LOYER, RÉSILIATION ABUSIVE, CONGÉ DE REPRÉSAILLES, USAGE PERSONNEL, ACTIONNAIRE UNIQUE, SOCIÉTÉ ANONYME | 2 al. 1 CC, 2 al. 2 CC, 271 al. 1 CO, 271a al. 1 let. a CO, 444 al. 1 ch. 3 CPC, 451 ch. 2 CPC, 452 al. 1 CPC, 452 al. 2 CPC, 456a CPC, 13 LTB, 405 al. 1 CPC (CH)</w:t>
      </w:r>
    </w:p>
    <w:p>
      <w:pPr>
        <w:pStyle w:val="Heading2"/>
      </w:pPr>
      <w:r>
        <w:t>Erwägungen</w:t>
      </w:r>
    </w:p>
    <w:p>
      <w:r>
        <w:rPr>
          <w:b/>
        </w:rPr>
        <w:t>E. 5</w:t>
      </w:r>
    </w:p>
    <w:p>
      <w:r>
        <w:t>La recourante soutient également que le congé est contraire à la bonne foi et donc annulable, ce qu'ont nié les premiers juges. a)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Conod, La protection du locataire en matière de congés, in 15 ème Séminaire sur le droit du bail, Neuchâtel 2008, pp. 169 ss, spéc.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Dans un arrêt récent, le Tribunal fédéral a encore précisé que le congé doit être considéré comme abusif s'il ne répond à aucun intérêt objectif, sérieux et digne de protection, s'il est purement chicanier ou encore fondé sur un motif qui n'est manifestement qu'un prétexte. En revanche, le congé signifié pour l'échéance en vue de vendre un objet dans de meilleures conditions ou d'obtenir d'un nouveau locataire un loyer plus élevé, mais non abusif, ne saurait, en règle générale, constituer un abus de droit (TF 4A_414/2009 du 9 décembre 2009; cf. aussi ATF 135 III 112 c. 4.1; ATF 120 II 31 précité c. 4a; ATF 120 II 105 précité c. 3). Le besoin personnel du bailleur, s'il est invoqué à l'appui de la résiliation, doit être sérieux et il ne doit pas s'agir d'un prétexte pour se débarrasser du locataire. Le besoin doit également être concret et actuel (ATF 99 lI 50, JT 1973 I 645; ATF 118 lI 50, JT 1993 I 290; Lachat, op. cit., ch. 3.9, pp. 777-778; Tercier/ Favre/Bugnon, Les contrats spéciaux, 4 ème éd., n. 2487, p. 360). L'urgence doit être non seulement temporelle, mais également matérielle et les motifs invoqués doivent objectivement être d'une certaine importance. Le but constitutionnel visant à encourager l'accès à la propriété doit également être pris en considération (même arrêt). Le bailleur qui dispose d'alternatives n'est pas obligé de choisir la solution la plus avantageuse pour le locataire et peut résilier le bail du locataire alors même qu'il dispose d'autres opportunités de relogement (Lachat, op. cit., ch. 3.9, p. 778). Dans le cas particulier d'une personne morale, celle-ci peut invoquer ses besoins propres à l'appui d'une résiliation du bail, mais la question est beaucoup moins évidente lorsqu'il s'agit d'un besoin de ses actionnaires et de leurs proches, fussent-ils actionnaire unique (ATF 115 II 181, JT 1989 I 608 c. 2a; ATF 132 III 737 c. 3.4 et 3.5; TF 4C.139/2000 du 10 juillet 2000 c. 2b). On peut déduire de ces arrêts que le Tribunal fédéral, même s'il n'a pas réellement tranché la question, semble retenir que l'actionnaire étant juridiquement distinct de la personne morale, celle-ci ne peut invoquer le besoin de celui-là (Chappuis, note sur cet arrêt, in DB 2007/19, no 18, pp. 34 ss). Il y a toutefois quelques pistes, notamment en relation avec le but social de la personne morale, qui lie l'actionnaire, mais aussi l'intérêt de la société en relation avec ses activités commerciales par exemple. A la lecture de I'ATF 132 III 737 déjà cité, le Tribunal fédéral semble avoir confirmé que le besoin propre de l'actionnaire unique ne lui permettait pas encore de se prévaloir de ce besoin dans le cas où c'est la société qui est propriétaire. Sous l'angle du dénominateur commun, tant le Tribunal fédéral que Chappuis considèrent que c'est l'intérêt de la personne morale qui doit être retenu, et non celui de l'actionnaire unique, si ce n'est sous l'angle de la valeur des actions. Pour le surplus, il y a lieu de procéder à une pesée des intérêts de la société d'une part, du locataire de l'autre. b) Comme le relève à juste titre la recourante, le jugement a examiné l'intérêt de la mère de l'actionnaire unique à bénéficier de ce logement, ou plus largement de la famille de l'actionnaire unique, par rapport à la situation de la locataire, mais non pas l'intérêt de la société propriétaire à pouvoir disposer d'un appartement pour la personne en question. Il résulte de l'instruction que la mère de l'actionnaire unique, dame A.________, est retraitée et se trouve dans une situation financière très difficile, puisqu'elle a dû faire appel aux prestations complémentaires, voire au revenu minimum d'insertion (cf. jugement, p. 7). Or, le loyer de l'appartement objet du bail litigieux est de 1'150 fr. par mois net, et on ne voit pas quel serait l'intérêt de la société propriétaire à installer une locataire dont les revenus sont clairement moins élevés que ceux de la locataire actuelle. Il est d'ailleurs admis par l'intimée que dame A.________ n'a pas pu trouver d'appartement en raison de la faiblesse de ses moyens financiers. Admettre un changement de locataire préjudiciable à l'intérêt financier de la propriétaire irait à l'encontre de son but social, et n'est donc pas favorable à la société, même si cela pourrait l'être à la famille de l'actionnaire unique. Ce sont toutefois deux entités juridiques différentes, qui peuvent avoir des intérêts divergents. Pour le surplus, on peut renvoyer aux arguments déjà évoqués quant à l'existence d'autres appartements disponibles tant au sein de l'immeuble qu'au vu du grand parc immobilier de l'intimée. Ce moyen doit également être admis, de sorte qu'il y a lieu d'annuler la résiliation de bail notifiée le 3 juin 2009 à la locataire.</w:t>
      </w:r>
    </w:p>
    <w:p>
      <w:r>
        <w:rPr>
          <w:b/>
        </w:rPr>
        <w:t>E. 6</w:t>
      </w:r>
    </w:p>
    <w:p>
      <w:r>
        <w:t>Cela étant, le recours doit être admis et le jugement attaqué réformé dans le sens des considérants précédents. Les frais de deuxième instance de la recourante sont arrêtés à 1'038 francs (art. 232 al. 1 aTFJC [tarif du 4 décembre 1984 des frais judiciaires en matière civile]). Obtenant gain de cause, la recourante a droit à des dépens de deuxième instance (art. 91 et 92 CPC-VD), qu'il convient de fixer à 3'038 fr. (art. 2 al. 1 ch. 33 et art. 3 aTAv [tarif du 17 juin 1986 des honoraires d'avocat dus à titre de dépens]). Par ces motifs, la Chambre des recours du Tribunal cantonal, statuant en audience publique, prononce : I. Le recours est admis. II. Le jugement est réformé aux chiffres I et II de son dispositif comme il suit : I. La résiliation de bail notifiée le 3 juin 2009 à la locataire G.________, avec effet au 31 janvier 2010, relative à l'appartement de 2 pièces au 1 er étage de l'immeuble sis [...] à Nyon est annulée. II. Supprimé. Le jugement est confirmé pour le surplus. III. Les frais de deuxième instance de la recourante sont arrêtés à 1'038 francs (mille trente-huit francs). IV. L'intimée L.________ SA doit verser à la recourante G.________ la somme 3'038 fr. (trois mille trente-huit francs) à titre de dépens de deuxième instance. V.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Me Rodolphe Petit (pour G.________), ‑ Me Albert J. Graf (pour L.________ SA).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