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67 vom 30. März 2011</w:t>
      </w:r>
    </w:p>
    <w:p>
      <w:r>
        <w:t>VD Tribunal cantonal, 2011-03-30, FR</w:t>
      </w:r>
    </w:p>
    <w:p>
      <w:r>
        <w:rPr>
          <w:b/>
        </w:rPr>
        <w:t xml:space="preserve">Quelle: </w:t>
      </w:r>
      <w:r>
        <w:t>https://mcp.opencaselaw.ch/entscheid/vd_findinfo_AP___2011___67</w:t>
      </w:r>
    </w:p>
    <w:p>
      <w:r>
        <w:t>FR: VD_FINDINFO AP / 2011 / 67 du 30 mars 2011</w:t>
      </w:r>
    </w:p>
    <w:p>
      <w:r>
        <w:t>IT: VD_FINDINFO AP / 2011 / 67 del 30 marzo 2011</w:t>
      </w:r>
    </w:p>
    <w:p>
      <w:pPr>
        <w:pStyle w:val="Heading2"/>
      </w:pPr>
      <w:r>
        <w:t>Regeste</w:t>
      </w:r>
    </w:p>
    <w:p>
      <w:r>
        <w:t>LÉGITIMATION ACTIVE ET PASSIVE, DÉPENS | 94 al. 1 CPC, 94 al. 4 CPC, 29 al. 2 Cst., 405 al. 1 CPC (CH)</w:t>
      </w:r>
    </w:p>
    <w:p>
      <w:pPr>
        <w:pStyle w:val="Heading2"/>
      </w:pPr>
      <w:r>
        <w:t>Erwägungen</w:t>
      </w:r>
    </w:p>
    <w:p>
      <w:r>
        <w:rPr>
          <w:b/>
        </w:rPr>
        <w:t>E. 1</w:t>
      </w:r>
    </w:p>
    <w:p>
      <w:r>
        <w:t>Depuis l'entrée en vigueur le 1 er janvier 2011 du CPC, les recours sont régis par le droit en vigueur au moment de la communication de la décision aux parties (art. 405 al. 1 CPC ; Tappy, JT 2010 III 32). En l'occurrence, le prononcé attaqué a été envoyé pour notification aux parties le 23 décembre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w:t>
      </w:r>
    </w:p>
    <w:p>
      <w:r>
        <w:rPr>
          <w:b/>
        </w:rPr>
        <w:t>E. 2</w:t>
      </w:r>
    </w:p>
    <w:p>
      <w:r>
        <w:t>L'art. 94 al. 1 CPC-VD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(Poudret/Haldy/Tappy, Procédure civile vaudoise, Lausanne 2002, 3 ème éd., n. 1 ad art. 94 CPC-VD). Un paiement intervenu en cours d'instance équivaut matériellement à un passé-expédient et la décision, radiant la cause du rôle à la suite de ce paiement, constitue ainsi un jugement principal mettant fin à l'instance susceptible d'un recours autre qu'en nullité. Il s'ensuit qu'un recours en réforme est ouvert sur la question des dépens (Poudret/Haldy/Tappy, op. cit., n. 1 ad art. 94 CPC-VD et ad art. 162 CPC-VD p. 294 in fine). Saisie d'un recours sur les dépens, la cour de céans revoit librement la cause en fait et en droit (art. 94 al. 4 CPC-VD). La production de pièces nouvelles en deuxième instance est admise pour un recours fondé sur l'art. 94 CPC-VD (CREC I 28 août 2009/440; CREC I 25 août 2009/432). Les pièces produites par la recourante sont donc recevables.</w:t>
      </w:r>
    </w:p>
    <w:p>
      <w:r>
        <w:rPr>
          <w:b/>
        </w:rPr>
        <w:t>E. 3</w:t>
      </w:r>
    </w:p>
    <w:p>
      <w:r>
        <w:t>Le juge de paix a rendu sa décision sans avoir préalablement invité la recourante à se déterminer sur la question des dépens. Ce faisant, il a violé son droit d'être entendue qui lui garantit le pouvoir de s'expliquer avant qu'une décision ne soit prise à son détriment. En effet, selon la jurisprudence fédérale, fondée sur l'art. 29 al. 2 Cst (Constitution fédérale du 18 avril 1999 ; RS 101), le droit d'être entendu comporte le droit pour le justiciable de pouvoir s'expliquer avant qu'une décision ne soit prise à son détriment, de pouvoir fournir des preuves quant aux faits de nature à influer sur le sort de la décision, d'avoir accès au dossier, de participer à l'administration des preuves, d'en prendre connaissance et de se déterminer à leur propos (ATF 135 I 187 c. 2.2 ; ATF 129 II 497 c. 2.2 ; ATF 126 I 15 c. 2a/aa). Il n'y a pas lieu ici d'examiner si les écritures de la recourante peuvent s'interpréter comme un recours en nullité, lequel devrait être admis sur la question du droit d'être entendu, dès lors que la cour de céans peut rectifier le vice dans le cadre du recours en réforme, qui doit être admis, comme on le verra ci-dessous.</w:t>
      </w:r>
    </w:p>
    <w:p>
      <w:r>
        <w:rPr>
          <w:b/>
        </w:rPr>
        <w:t>E. 4</w:t>
      </w:r>
    </w:p>
    <w:p>
      <w:r>
        <w:t>La recourante conteste sa légitimation passive, soutenant ne pas avoir été liée contractuellement avec l'intimé et n'être intervenue que comme représentante de la société K.________ SA. Il ressort du dossier de première instance que, selon un échange d'E-Mail du 15 décembre 2008, la recourante a sollicité de l'intimé un devis à préparer à l'adresse de K.________ SA et de son administrateur M.________ (cf. le site Internet du registre du commerce dont le contenu constitue un fait notoire [ATF 135 III 88]). L'intimé a adressé à la recourante un devis à l'attention de M.________. Selon un E-Mail postérieur, la recourante a confirmé à l'intimé la commande pour le 15 janvier 2009 pour sa cliente K.________ SA. Il apparaît ainsi que la recourante n'a pas agi à son nom et pour son compte mais bel et bien au nom et pour le compte de K.________ SA, ce qui ne pouvait échapper à l'intimé. Elle est ainsi intervenue comme représentante directe et le contrat passé lie uniquement l'intimé à K.________ SA. Il ressort d'ailleurs des pièces produites avec le recours, notamment d'un échange d'E-Mail entre la recourante et l'Office des poursuites de Lausanne-Est, le 14 décembre 2010, ainsi que d'un extrait du compte de K.________ SA, du 10 décembre 2010, que c'est bien cette dernière société qui a soldé la poursuite. Il résulte par conséquent de ce qui précède que la recourante ne dispose pas de la légitimation passive et qu'elle ne saurait être condamnée à des dépens. C'est elle qui, au contraire, a droit à des dépens de première instance en remboursement des frais judiciaires mis à sa charge.</w:t>
      </w:r>
    </w:p>
    <w:p>
      <w:r>
        <w:rPr>
          <w:b/>
        </w:rPr>
        <w:t>E. 5</w:t>
      </w:r>
    </w:p>
    <w:p>
      <w:r>
        <w:t>Il s'ensuit que le recours doit être admis et le dispositif du prononcé réformé en ce sens que D.________ doit verser à J.________ la somme de 250 fr. à titre de dépens (III), le prononcé étant confirmé pour le surplus. Les frais de deuxième instance de la recourante sont arrêtés à 150 fr. (art. 230 al. 1 du tarif des frais judiciaires en matière civile du 4 décembre 1984; RSV 270.11.5). Obtenant gain de cause, la recourante a droit à la somme de 150 fr. à titre de dépens de deuxième instance (art. 92 al. 1 CPC-VD). Par ces motifs, la Chambre des recours du Tribunal cantonal, statuant en audience publique, prononce : I.              Le recours est admis. II.              Le prononcé est réformé comme il suit au chiffre III de son dispositif : III. dit que le demandeur D.________ doit verser à la défenderesse J.________ Sàrl la somme de 250 fr. (deux cent cinquante francs) à titre de dépens. Le prononcé est confirmé pour le surplus. III.              Les frais de deuxième instance de la recourante sont arrêtés à 150 fr. (cent cinquante francs). IV.              L'intimé D.________ doit verser à la recourante J.________ Sàrl la somme de 150 fr. (cent cinquante francs) à titre de dépens de deuxième instance. V.              L'arrêt motivé est exécutoire. . Le président :               La greffière : Du 30 mars 2011 Le dispositif de l'arrêt qui précède est communiqué par écrit aux intéressés. La greffière : Du L'arrêt qui précède, dont la rédaction a été approuvée à huis clos, est notifié en expédition complète, par l'envoi de photocopies à : ‑ J.________, ‑ M. Thierry Zumbach, agent d'affaires breveté (pour D.________). La Chambre des recours considère que la valeur litigieuse est de 650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