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2011 / 49 vom 25. August 2010</w:t>
      </w:r>
    </w:p>
    <w:p>
      <w:r>
        <w:t>VD Tribunal cantonal, 2010-08-25, FR</w:t>
      </w:r>
    </w:p>
    <w:p>
      <w:r>
        <w:rPr>
          <w:b/>
        </w:rPr>
        <w:t xml:space="preserve">Quelle: </w:t>
      </w:r>
      <w:r>
        <w:t>https://mcp.opencaselaw.ch/entscheid/vd_findinfo_AP___2011___49</w:t>
      </w:r>
    </w:p>
    <w:p>
      <w:r>
        <w:t>FR: VD_FINDINFO AP / 2011 / 49 du 25 août 2010</w:t>
      </w:r>
    </w:p>
    <w:p>
      <w:r>
        <w:t>IT: VD_FINDINFO AP / 2011 / 49 del 25 agosto 2010</w:t>
      </w:r>
    </w:p>
    <w:p>
      <w:pPr>
        <w:pStyle w:val="Heading2"/>
      </w:pPr>
      <w:r>
        <w:t>Regeste</w:t>
      </w:r>
    </w:p>
    <w:p>
      <w:r>
        <w:t>BLANCHIMENT D'ARGENT, APPRÉCIATION DES PREUVES, INTERDICTION DE L'ARBITRAIRE, IN DUBIO PRO REO, PRÉSOMPTION D'INNOCENCE, PEINE COMPLÉMENTAIRE | 305bis CP, 49 al. 2 CP, 411 let. g CPP, 411 let. h CPP, 411 let. i CPP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de B.________ doit être partiellement admis et le jugement du tribunal de première instance réformé aux chiffres II et III de son dispositif en ce sens que le tribunal condamne B.________ à une peine privative de liberté de trois mois, sous déduction de 30 jours de détention avant jugement, peine complémentaire à celle prononcée par la Chambre pénale du Tribunal cantonal de St-Gall le 15 décembre 2010 à l’encontre de la prénommée (II) et que le chiffre III est supprimé (III). Les frais de deuxième instance, y compris l'indemnité allouée à son défenseur d'office, par 900 fr., plus la TVA par  72 fr., sont mis, à raison de trois quarts à la charge de la recourante (art. 450 al. 1 CPP-VD), le solde étant laissé à la charge de l’Etat. Le remboursement à l'Etat de l'indemnité allouée au défenseur d'office de la recourante ne sera exigible que pour autant que la situation économique de celle-ci se soit améliorée.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