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36 vom 10. Dezember 2010</w:t>
      </w:r>
    </w:p>
    <w:p>
      <w:r>
        <w:t>VD Tribunal cantonal, 2010-12-10, FR</w:t>
      </w:r>
    </w:p>
    <w:p>
      <w:r>
        <w:rPr>
          <w:b/>
        </w:rPr>
        <w:t xml:space="preserve">Quelle: </w:t>
      </w:r>
      <w:r>
        <w:t>https://mcp.opencaselaw.ch/entscheid/vd_findinfo_AP___2011___36</w:t>
      </w:r>
    </w:p>
    <w:p>
      <w:r>
        <w:t>FR: VD_FINDINFO AP / 2011 / 36 du 10 décembre 2010</w:t>
      </w:r>
    </w:p>
    <w:p>
      <w:r>
        <w:t>IT: VD_FINDINFO AP / 2011 / 36 del 10 dicembre 2010</w:t>
      </w:r>
    </w:p>
    <w:p>
      <w:pPr>
        <w:pStyle w:val="Heading2"/>
      </w:pPr>
      <w:r>
        <w:t>Regeste</w:t>
      </w:r>
    </w:p>
    <w:p>
      <w:r>
        <w:t>DROIT PÉNAL, SURSIS À L'EXÉCUTION DE LA PEINE, PRONOSTIC, PEINE PÉCUNIAIRE, FIXATION DE LA PEINE, PEINE PRIVATIVE DE LIBERTÉ, PROPORTIONNALITÉ, CONCOURS D'INFRACTIONS, TRAITEMENT AMBULATOIRE, ADMISSION PARTIELLE | 34 CP, 42 al. 1 CP, 42 CP, 49 al. 1 CP, 49 CP, 56 CP, 56a CP, 63 al. 1 CP, 63 CP</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qu’elle rectifie d’office (art. 447 al. 1 et 2 CPP [Code de procédure pénale du 12 septembre 1967, RSV 312.01] ; Bersier, Le recours à la Cour de cassation pénale du Tribunal cantonal en procédure vaudoise, in : JT 1996 III 66, spéc. ch. 7 ss).</w:t>
      </w:r>
    </w:p>
    <w:p>
      <w:r>
        <w:rPr>
          <w:b/>
        </w:rPr>
        <w:t>E. 2</w:t>
      </w:r>
    </w:p>
    <w:p>
      <w:r>
        <w:t>septembre 2010 c. 5). Le juge doit par ailleurs motiver sa décision de manière suffisante (cf. art. 50 CP) ; sa motivation doit permettre de vérifier s'il a été tenu compte de tous les éléments pertinents et comment ils ont été appréciés (ATF 134 IV 1 c. 4.2.1 ; TF 6B_1058/2010 du 1 er mars 2011 c. 2.1). b) En l’espèce, le recourant allègue que ses antécédents pénaux sont modestes et que le risque de récidive signalé par les experts psychiatres doit être relativisé dans la mesure où il a été acquitté des accusations les plus graves. Il fait valoir qu’il s’est bien comporté depuis septembre 2008, n’ayant plus cherché à joindre sa victime ni violenté son amie actuelle, et qu’une peine assortie du sursis serait plus dissuasive qu’une peine ferme. Le tribunal a constaté que le recourant avait « réitéré, malgré une première enquête ouverte, même si celle-ci a[vait] été clôturée ensuite du retrait de plainte » (cf. jugement p. 33). Il a estimé que le fait que l’accusé ait cessé de s’en prendre à son ex-compagne depuis le mois de septembre 2008 ne suffisait pas à fonder un pronostic favorable, tout en rappelant qu’il avait récemment désobéi aux injonctions des forces de l’ordre et qu’il se disputait avec sa nouvelle amie. Le tribunal en a conclu que l’intéressé avait de la peine à se soumettre à une décision qui n’était pas la sienne et que son comportement aux débats montrait que seule une peine ferme lui ferait prendre pleinement conscience de la réalité de son comportement, de l’illégalité de ses agissements et des conséquences de ceux-ci. Dire que les éléments favorables ne sont pas suffisants pour fonder un pronostic favorable est une inversion du raisonnement correct. Pour le surplus, la motivation des premiers juges demeure toutefois pertinente. Le jugement rappelle en effet que le recourant a persisté dans ses dénégations aux débats (cf. jugement p. 16), qu’il a agi alors qu’une précédente enquête (ensuite clôturée par un non-lieu) était ouverte et qu’il s’est encore opposé aux forces de l’ordre intervenues alors qu’il faisait du scandale dans l’école de sa nouvelle compagne (cf. jugement p. 16). Au vu de ces éléments, le fait que l’accusé laisse tranquille la plaignante, qui n’est du reste plus son amie, est de peu de poids et le tribunal était donc fondé à considérer qu’il ne suffisait pas à nier le risque de récidive. De surcroît, il sied de relever que le recourant a déjà été condamné pour violence ou menace contre les autorités et les fonctionnaires, qu’il n’a nullement cherché à réparer ses torts auprès de son ex-compagne et que les experts retiennent un important risque de récidive d’actes de même nature que ceux qui lui sont reprochés (pour autant qu’ils soient avérés) et pas seulement ceux dont il a été acquitté (cf. jugement p. 12). Le raisonnement des premiers juges ne prête dès lors pas le flanc à la critique. Partant, le moyen, mal fondé, doit être rejeté.</w:t>
      </w:r>
    </w:p>
    <w:p>
      <w:r>
        <w:rPr>
          <w:b/>
        </w:rPr>
        <w:t>E. 3</w:t>
      </w:r>
    </w:p>
    <w:p>
      <w:r>
        <w:t>Se prévalant de l’art. 34 CP, le recourant estime que le tribunal aurait dû prononcer une peine pécuniaire plutôt qu’une peine privative de liberté. Il rappelle que la peine pécuniaire est la règle, dont il n’y aurait pas lieu de s’écarter en l’occurrence dès lors qu’il n’a été condamné que pour des délits qui ne se poursuivent que sur plainte. Il conteste ainsi implicitement le genre de peine infligée. a) Aux termes de l'art. 49 al. 1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plusieurs peines de genres différents entrent en considération, par exemple une peine privative de liberté avec une peine pécuniaire ou encore une peine pécuniaire avec une amende, les peines doivent être prononcées l'une et l'autre de façon cumulative car l'art. 49 al. 1 CP n'est pas applicable (ATF 102 IV 242 c. II/5 ; TF 6B_111/2010 du 29 juin 2010 c. 2 ; TF 6B_890/2008 du 6 avril 2009 c. 7.1). b) En l’espèce, dans la mesure où les infractions retenues impliquent des peines de genres différents, les premiers juges n’étaient pas en droit de prononcer une peine privative de liberté globale. Bien plutôt auraient-ils dû prononcer cumulativement les différentes peines entrant en considération, conformément à l’art. 49 al. 1 CP, à savoir une peine privative de liberté ou des jours-amende pour sanctionner les lésions corporelles simples et les menaces (cf. art. 123 ch. 1 et 180 al. 1 CP), une peine pécuniaire dans les cas d’injure et d’empêchement d’accomplir un acte officiel (cf. art. 177 et 286 CP), ainsi qu’une amende s’agissant de l’utilisation abusive d’une installation de télécommunication (cf. art. 179 septies ). C’est le lieu de relever que le tribunal a omis de mentionner l’opposition aux actes de l’autorité, respectivement l’empêchement d’accomplir un acte officiel dans son dispositif, alors même qu’il a clairement retenu cette infraction à l’endroit du recourant (cf. jugement p. 30). Cette omission sera corrigée d’office. A supposer que le choix d’une peine privative de liberté soit justifié pour les infractions passibles de ce type de sanction, la peine devrait en tous les cas être en partie remplacée par une peine pécuniaire. La cour de céans étant liée par les conclusions du recourant, l’amende n’entre pas en considération. c)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 4.2.2, 82 c. 4.1).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 4.2.2, 60 c. 4.3). Le principe de la proportionnalité n'oblige toutefois à donner la préférence à la peine pécuniaire que si cette dernière permet de sanctionner la culpabilité de l'auteur de manière équivalente. Dans le cas contraire, le juge peut prononcer une peine privative de liberté (ATF 134 IV 82 c. 4.1). Le choix du type de sanction doit être opéré en tenant compte au premier chef de l'adéquation d'une sanction déterminée, de ses effets sur l'auteur et sur sa situation sociale ainsi que de son efficacité du point de vue de la prévention (ATF 134 IV 97 c. 4.2, 82 c. 4.1). La situation économique de l'auteur ou le fait que son insolvabilité apparaît prévisible ne constituent en revanche pas des critères déterminants pour choisir la nature de la sanction (ATF 134 IV 97 c. 5.2.3 ; TF 6B_210/2010 du 8 juin 2010 c. 2.2). Lorsque la peine est inférieure à six mois, elle ne peut être privative de liberté qu’aux conditions encore plus restrictives de l’art. 41 CP. d) Les premiers juges ont considéré que le recourant, compte tenu de sa personnalité, « ne comprendrait absolument pas la porté d’une peine pécuniaire, fût-elle ferme », et ont dès lors exclu une telle sanction (cf. jugement p. 33). Ce raisonnement ne saurait être suivi puisqu’il convient de prononcer de toute manière une peine pécuniaire pour deux des infractions retenues à l’encontre de l’accusé. Par ailleurs, le recourant s’est vu libéré des principales infractions qui lui étaient reprochées, dont en particulier celles de mise en danger de la vie d’autrui, de brigandage, de séquestration et enlèvement, de contrainte sexuelle, de viol et d’actes d’ordre sexuel commis sur une personne incapable de discernement ou de résistance. Les infractions restantes, toutes poursuivies sur plainte, s’inscrivent dans une même contexte de relations conflictuelles avec son ex-amie. Partant, il convient de prononcer une peine pécuniaire de cent huitante jours-amende pour le tout. Etant donnée la situation personnelle et économique du recourant, le montant du jour-amende doit être arrêté à 30 francs. Le recours doit donc être admis sur ce point.</w:t>
      </w:r>
    </w:p>
    <w:p>
      <w:r>
        <w:rPr>
          <w:b/>
        </w:rPr>
        <w:t>E. 4</w:t>
      </w:r>
    </w:p>
    <w:p>
      <w:r>
        <w:t>Le recourant s’oppose enfin à l’instauration d’un traitement ambulatoire. a) En vertu de l'art.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 TF 6B_268/2008 du 2 mars 2009 c. 5). b) Le recourant considère que les conditions pour ordonner un traitement ambulatoire ne sont pas remplies au vu de l’expertise psychiatrique, selon laquelle toute prise en charge ambulatoire acceptée du bout des lèvres ou imposée serait contre-productive. Il remet ainsi en cause le fait qu’un tel traitement réduirait le risque de récidive. Il ressort du jugement attaqué que le recourant a déclaré ne pas être opposé à un traitement ambulatoire et que même si son discours a paru « plaqué » à l’expert, un traitement psychothérapeutique s’avère nécessaire compte tenu de la structure de sa personnalité. Il en résulte également que l’accusé a consulté un médecin « parce qu’il ne se sentait pas bien psychologiquement parlant » (cf. jugement p. 34). A dire d’experts, le risque de récidive pourrait éventuellement être diminué par le biais de consultations psychothérapeutiques centrées sur la gestion des pulsions agressives et sexuelles. Une prise en charge ambulatoire pourrait être instaurée, l’expertisé n’y paraissant pas opposé ; dans le cas contraire, le traitement resterait indiqué mais avec des chances de succès « encore moindres que s’il y était disposé » (cf. jugement p. 12). Les experts ont indiqué que toute prise en charge ambulatoire acceptée du bout des lèvres ou imposée serait contreproductive et risquerait de renforcer l’impression de l’intéressé « d’être victime d’une sorte de complot mis au point pour se venger de lui » (cf. jugement p. 12). Aux débats toutefois, l’expert a ajouté que le recourant ne présentait pas un discours paranoïaque structuré et conséquent, mais une capacité étroite de pouvoir s’ouvrir et se remettre en question, et qu’il était dès lors possible de peu et de beaucoup espérer d’un traitement ambulatoire. Il appert ainsi que les experts, quoique plutôt pessimistes sur les chances de succès d’une telle mesure, n’ont aucune certitude. Or, le recourant trahit une souffrance psychologique puisqu’il a ressenti le besoin de consulter un spécialiste. Il ne s’est d’ailleurs pas opposé au traitement et, même si son discours paraît plaqué, il conserve une certaine capacité de se remettre en question. Il n’est donc pas possible d’affirmer d’emblée qu’un traitement ambulatoire serait voué à l’échec. Dans ces conditions, la position des premiers juges est justifiée et doit être confirmée. Partant, ce dernier moyen est mal fondé et doit être rejeté.</w:t>
      </w:r>
    </w:p>
    <w:p>
      <w:r>
        <w:rPr>
          <w:b/>
        </w:rPr>
        <w:t>E. 5</w:t>
      </w:r>
    </w:p>
    <w:p>
      <w:r>
        <w:t>Au vu de ce qui précède, le recours doit être partiellement admis et le jugement attaqué réformé en ce sens que le recourant est condamné à une peine de cent huitante jours-amende à 30 fr. l’unité pour lésions corporelles simples, injure, utilisation abusive d'une installation de télécommunication, menaces et opposition aux actes de l'autorité. Vu la mesure dans laquelle le recourant a obtenu gain de cause, les frais de deuxième instance seront mis par moitié à sa charge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