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35 vom 30. September 2010</w:t>
      </w:r>
    </w:p>
    <w:p>
      <w:r>
        <w:t>VD Tribunal cantonal, 2010-09-30, FR</w:t>
      </w:r>
    </w:p>
    <w:p>
      <w:r>
        <w:rPr>
          <w:b/>
        </w:rPr>
        <w:t xml:space="preserve">Quelle: </w:t>
      </w:r>
      <w:r>
        <w:t>https://mcp.opencaselaw.ch/entscheid/vd_findinfo_AP___2011___35</w:t>
      </w:r>
    </w:p>
    <w:p>
      <w:r>
        <w:t>FR: VD_FINDINFO AP / 2011 / 35 du 30 septembre 2010</w:t>
      </w:r>
    </w:p>
    <w:p>
      <w:r>
        <w:t>IT: VD_FINDINFO AP / 2011 / 35 del 30 settembre 2010</w:t>
      </w:r>
    </w:p>
    <w:p>
      <w:pPr>
        <w:pStyle w:val="Heading2"/>
      </w:pPr>
      <w:r>
        <w:t>Regeste</w:t>
      </w:r>
    </w:p>
    <w:p>
      <w:r>
        <w:t>ENTRAVE À L'ACTION PÉNALE, PEINE | 25 CP, 305 CP, 47 CP, 157 CPP, 19a LStup</w:t>
      </w:r>
    </w:p>
    <w:p>
      <w:pPr>
        <w:pStyle w:val="Heading2"/>
      </w:pPr>
      <w:r>
        <w:t>Erwägungen</w:t>
      </w:r>
    </w:p>
    <w:p>
      <w:r>
        <w:rPr>
          <w:b/>
        </w:rPr>
        <w:t>E. 1</w:t>
      </w:r>
    </w:p>
    <w:p>
      <w:r>
        <w:t>Le recours de P.________ a été déposé en temps utile (425 CPP). Le mémoire est en outre daté et signé par le conseil de la recourante (426 CPP), lequel est au bénéfice d'une procuration. Il est recevable en la forme.</w:t>
      </w:r>
    </w:p>
    <w:p>
      <w:r>
        <w:rPr>
          <w:b/>
        </w:rPr>
        <w:t>E. 2</w:t>
      </w:r>
    </w:p>
    <w:p>
      <w:r>
        <w:t>La recourante a pris une conclusion subsidiaire en nullité. Elle ne développe toutefois aucun moyen de nullité. La conclusion en nullité est ainsi irrecevable et il convient d’examiner le recours uniquement sous l’angle de la réforme.</w:t>
      </w:r>
    </w:p>
    <w:p>
      <w:r>
        <w:rPr>
          <w:b/>
        </w:rPr>
        <w:t>E. 3</w:t>
      </w:r>
    </w:p>
    <w:p>
      <w:r>
        <w:t>Saisie d'un recours en réforme, la cour de céans examine librement les questions de droit sans être limitée aux moyens que les parties invoquent (art. 447 al. 1 CPP). Elle est cependant liée par les faits constatés par le jugement attaqué, sous réserve des inadvertances manifestes qu'elle rectifie d'office (art. 447 al. 2 CPP). Il n'y en a pas en l'espèce.</w:t>
      </w:r>
    </w:p>
    <w:p>
      <w:r>
        <w:rPr>
          <w:b/>
        </w:rPr>
        <w:t>E. 4</w:t>
      </w:r>
    </w:p>
    <w:p>
      <w:r>
        <w:t>La recourante prétend qu'on ne saurait retenir à son encontre une infraction à l'art. 305 CP, car l’autofavorisation n'est pas punissable.</w:t>
      </w:r>
    </w:p>
    <w:p>
      <w:r>
        <w:rPr>
          <w:b/>
        </w:rPr>
        <w:t>E. 4.1</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ne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à l'action de la police du fait du prétendu fauteur (ATF 129 IV 138, c. 2.1). Au demeurant, pour que l'élément subjectif de l'art. 305 CP soit réalisé, le dol éventuel suffit. Il n'est pas nécessaire que l'auteur ait pour but d'entraver ou de retarder l'action des autorités. Ses mobiles sont sans pertinence. Il suffit que l'auteur veuille ou accepte l'idée que son comportement va soustraire temporairement à l'action de la justice pénale une personne exposée à une poursuite (Corboz, Les principales infractions, vol. Il, n. 41 ad art. 305 CP, p. 512). Comme l'auteur de l'entrave doit soustraire une personne à l'action pénale, il ne peut s'agir que d'autrui, et non pas de l'auteur lui-même. Il résulte donc du texte légal que l'autofavorisation n'est pas punissable (Corboz, op. cit. n. 8 ad. art. 305 CP, pp. 505 et 506 et la jurisprudence citée). En complément à ce qui précède, la jurisprudence fédérale précise que dans la mesure où l'entrave à l'action pénale ne réalise pas les éléments constitutifs d'une autre infraction, elle n'est pas punissable lorsqu'elle ne profite qu'à son auteur (JT 1991 IV 80).</w:t>
      </w:r>
    </w:p>
    <w:p>
      <w:r>
        <w:rPr>
          <w:b/>
        </w:rPr>
        <w:t>E. 4.2</w:t>
      </w:r>
    </w:p>
    <w:p>
      <w:r>
        <w:t>En l’espèce, le jugement retient, en page 24, que P.________ a agi pour préserver K.________. Ce fait lie la cour de céans. En outre, les preuves matérielles que P.________ a fait disparaître étaient celles qui mettaient en cause les acteurs du brigandage (arme, cagoules, sprays, etc.), soit les quatre hommes auxquels elle ne s’est pas associée. Certes, en tant qu’amie d'K.________ qui lui a offert son aide, elle entrait dans le cercle des auteurs potentiels (jugement p. 24). Cependant, même si elle devait être considérée comme complice de l’infraction préalable -ce qui n’a pas été retenu en l’espèce-, cela n’exclut pas qu’elle puisse se rendre coupable d’entrave à l’action pénale, après la commission de l’infraction, en faisant disparaître des preuves mettant en cause l’auteur de l’infraction (Corboz, op. cit. n. 15 ad art. 305, p. 507). C’est précisément ce que la recourante a fait en l’occurrence. L'intéressée n'ayant pas participé à l'infraction préalable, son argument selon lequel elle aurait agi pour se soustraire personnellement à une poursuite pénale tombe à faux. C'est également en vain qu'elle se prévaut de sa peur que soit révélée l’association illicite qu’elle formait avec son ami. En effet, le jugement querellé ne la met pas en cause dans la vente de stupéfiants. Seul son ami K.________ est impliqué à ce titre (jugement pp. 26-27). C'est donc à juste titre que la recourante a été reconnue coupable d'entrave à l'action pénale au sens de l'art. 305 al. 1 CP.</w:t>
      </w:r>
    </w:p>
    <w:p>
      <w:r>
        <w:rPr>
          <w:b/>
        </w:rPr>
        <w:t>E. 4.3</w:t>
      </w:r>
    </w:p>
    <w:p>
      <w:r>
        <w:t>P.________ se prévaut de la relation étroite qu'elle avait avec K.________ au moment des faits et estime, cela étant, pouvoir être exemptée de toute peine. L'art. 305 al. 2 CP prévoit  que le juge pourra exempter le délinquant de toute peine si les relations de celui-ci avec la personne par lui favorisée sont assez étroites pour rendre sa conduire excusable. In casu, il découle jugement (p. 31) qu'en automne 2008 P.________ et K.________ formaient un couple. La personne qui a un lien exclusif et durable avec son ou sa partenaire au point de former un couple entre dans la catégorie des personnes proches visées par l'art. 305 al. 2 CP. L'acceptation de cette notion est au demeurant assez large (Corboz, Les principales infractions, vol. Il, n. 49 ad art. 305 CP, p. 514). Dès lors, le lien entre la recourante et K.________ doit être considéré comme suffisamment étroit pour rendre sa conduite excusable au sens de l'art. 305 al. 2 CP. 5.1 P.________ s'en prend encore à la quotité de l'amende, qu'elle considère comme étant arbitrairement sévère au vu des faits qui lui sont reprochés. 5.2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 Lorsque l'art. 106 al. 3 évoque la situation de l'auteur, il faut avant tout y voir une référence à la situation financière de l'auteur (Jeanneret, Commentaire romand, Code pénal I – art. 1-110 CP, Helbling Lichtenhan 2009, n. 6 ad. 106 CP). Quant au mode de fixation du montant de l'amende, les principes développés sous l'empire de aCP 48, toujours actuels, prévoyaient ce qui suit  : Pour fixer le montant de l'amende, il faut partir des art. 63 et 48 CP. Selon l'art. 63 CP, le juge fixe la peine d'après la culpabilité du délinquant, en tenant compte des mobiles, des antécédents et de la situation personnelle. L'art. 48 ch. 2 al. 1 CP prescrit en outre au juge de fixer le montant de l'amende d'après la situation du condamné, de façon que la perte à subir par celui-ci constitue une peine correspondant à sa culpabilité. Codifiant la jurisprudence, l'actuel art. 47 al. 2 CP énumère les critères permettant de déterminer le degré de gravité de la culpabilité de l'auteur :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Enfin, s'agissant du montant de l'amende, le juge du fait jouit d'un large pouvoir d'appréciation, et la Cour de cassation n'intervient que si le Tribunal est sorti du cadre que lui fixe la loi, s'il n'est pas parti des éléments déterminants en droit ou si, abusant de son pouvoir d'appréciation, il a retenu une peine manifestement trop sévère ou trop clémente (ATF 116 IV 4, précité, applicable par analogie). En l'espèce, l'amende infligée tient compte d'une consommation personnelle de longue durée et du fait que la recourante a acheté des boutures, cultivées dans la maison de Forel, destinées à sa propre consommation. Au regard de ces faits, l'amende n'apparaît pas arbitrairement sévère, de sorte qu'il y a lieu de la confirmer.</w:t>
      </w:r>
    </w:p>
    <w:p>
      <w:r>
        <w:rPr>
          <w:b/>
        </w:rPr>
        <w:t>E. 6</w:t>
      </w:r>
    </w:p>
    <w:p>
      <w:r>
        <w:t>La recourante s'en prend encore au montant des frais de première instance mis à sa charge par le Tribunal.</w:t>
      </w:r>
    </w:p>
    <w:p>
      <w:r>
        <w:rPr>
          <w:b/>
        </w:rPr>
        <w:t>E. 6.1</w:t>
      </w:r>
    </w:p>
    <w:p>
      <w:r>
        <w:t>A teneur de l’art. 157 CPP, les frais sont en principe mis à la charge du condamné (al. 1).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oeuvre de cette disposition relève largement de l’appréciation du premier juge. Le pouvoir de la cour de cassation est dès lors limité à l’arbitraire (art. 415 al. 3 CPP; Bovay, Dupuis, Monnier, Moreillon et Piguet, Procédure pénale vaudoise, Code annoté, 3e éd., Bâle 2008, n.1 ad art. 157 CPP et les référence citées).</w:t>
      </w:r>
    </w:p>
    <w:p>
      <w:r>
        <w:rPr>
          <w:b/>
        </w:rPr>
        <w:t>E. 6.2</w:t>
      </w:r>
    </w:p>
    <w:p>
      <w:r>
        <w:t>En l'espèce, il est incontestable qu'en aidant à cacher les objets se trouvant en possession d’K.________, la recourante a provoqué l’ouverture d’une enquête pénale à son encontre. La dissimulation d’objets volés et/ou d’objets ayant servi à commettre un brigandage constitue objectivement un acte illicite; peu importe, cela étant, que ce comportement ne soit pas punissable pénalement. Dans ces circonstances, les premiers juges ont considéré à juste titre que les frais en relation avec cette affaire pouvaient être mis à la charge de la recourante. Le montant retenu à ce titre n'apparaît en outre pas excessif si l'on tient compte du rôle joué par l'intéressée. Le jugement entrepris doit donc être confirmé sur ce point également. 7.1 En définitive, le recours en réforme interjeté par P.________ doit être partiellement admis et le jugement attaqué réformé en ce sens que la recourante doit être reconnue coupable d'entrave à l'action pénale, mais exemptée de toute peine à ce titre. En outre, la recourante doit être condamnée pour contravention à la loi fédérale sur les stupéfiants à une amende de 500 francs. Le jugement entrepris doit être confirmé pour le surplus en ce qui concerne P.________. 7.2 Vu l'admission partielle du recours, les frais de seconde instance sont mis, à raison d'un quart, à la charge de la recourante, le solde étant laissé à la charge de l'Etat. III. Recours d'K.________</w:t>
      </w:r>
    </w:p>
    <w:p>
      <w:r>
        <w:rPr>
          <w:b/>
        </w:rPr>
        <w:t>E. 8</w:t>
      </w:r>
    </w:p>
    <w:p>
      <w:r>
        <w:t>Le recours d'K.________ a été déposé en temps utile (425 CPP). Le mémoire est en outre daté et signé par le conseil du recourant (426 CPP), lequel est au bénéfice d'une procuration. Il est recevable en la forme.</w:t>
      </w:r>
    </w:p>
    <w:p>
      <w:r>
        <w:rPr>
          <w:b/>
        </w:rPr>
        <w:t>E. 9</w:t>
      </w:r>
    </w:p>
    <w:p>
      <w:r>
        <w:t>Le recours d'K.________ est en réforme exclusivement.</w:t>
      </w:r>
    </w:p>
    <w:p>
      <w:r>
        <w:rPr>
          <w:b/>
        </w:rPr>
        <w:t>E. 10</w:t>
      </w:r>
    </w:p>
    <w:p>
      <w:r>
        <w:t>Saisie d'un recours en réforme, la cour de céans examine librement les questions de droit sans être limitée aux moyens que les parties invoquent (art. 447 al. 1 CPP). Elle est cependant liée par les faits constatés par le jugement attaqué, sous réserve des inadvertances manifestes qu'elle rectifie d'office (art. 447 al. 2 CPP). Il n'y en a pas en l'espèce.</w:t>
      </w:r>
    </w:p>
    <w:p>
      <w:r>
        <w:rPr>
          <w:b/>
        </w:rPr>
        <w:t>E. 11</w:t>
      </w:r>
    </w:p>
    <w:p>
      <w:r>
        <w:t>Le recourant conteste avoir été le coauteur d'un brigandage; il estime que sa participation devrait être qualifiée de complicité.</w:t>
      </w:r>
    </w:p>
    <w:p>
      <w:r>
        <w:rPr>
          <w:b/>
        </w:rPr>
        <w:t>E. 11.1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 l'inverse, le complice n'accepte que de prêter assistance (art. 25 CP).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En l'espèce, le recourant a eu l'idée de l'opération. Il a requis l'aide de son ami J.________, qui lui-même a recruté d'autres personnes. Le butin devait être partagé par moitié, une demie dévolue au recourant et le solde entre les trois autres participants. Lors de la réunion préparatoire, le recourant a décrit les lieux. Il a distribué divers accessoires aux participants, notamment des gants, une cagoule, un spray au poivre, un pistolet à plombs, etc. Lors du brigandade, K.________ a assuré la sécurité en faisant le guet. Il a approché le véhicule que l'on a chargé. En outre, si le recourant est resté à faire le guet, c'est pour éviter d'être reconnu. Au vu de ces éléments, on ne saurait considérer que le recourant n'a fait que prêter assistance et que son rôle était secondaire. Il apparaît au contraire comme le leader du groupe auquel revenait la part du butin la plus importante. Dans ces conditions, force est d'admettre qu'il doit bien être considéré comme un coauteur.</w:t>
      </w:r>
    </w:p>
    <w:p>
      <w:r>
        <w:rPr>
          <w:b/>
        </w:rPr>
        <w:t>E. 11.2</w:t>
      </w:r>
    </w:p>
    <w:p>
      <w:r>
        <w:t>Fondé sur la jurisprudence fédérale (ATF 124 IV 102), K.________ invoque qu'il ne peut y avoir brigandage – qui suppose un vol – si les stupéfiants ne sont pas juridiquement la propriété d'autrui. Cet argument est vain. En effet, l'intéressé omet de considérer que les auteurs cherchaient du cannabis, voire de l'argent et qu'en définitive, ils ont emporté des objets (jugement pp-20-21 : " […] On ne découvre ni cannabis, ni argent. En revanche, on emporte un sachet contenant 200 à 400 grammes de déchets de cannabis, trois ordinateurs portables, un modem, une console Nitendo avec jeux et accessoires, deux consoles Playstation, un organiseur Palm, des bijoux de fantaisie, une veste, une casquette, trois sacs à main et quelque 50 fr. J.________ a encore soustrait trois ballasts.[…]" ). Le recourant en a conservé certains, les autres destinés à la vente ont été déposés chez un tiers. Il y a dès lors bien eu vol, donc brigandage.</w:t>
      </w:r>
    </w:p>
    <w:p>
      <w:r>
        <w:rPr>
          <w:b/>
        </w:rPr>
        <w:t>E. 12</w:t>
      </w:r>
    </w:p>
    <w:p>
      <w:r>
        <w:t>Le recourant se prévaut d'une application arbitraire de l'art. 47 CP et considère encore qu'il n'a pas assez été tenu compte de sa situation personnelle. A cet égard, il se prévaut de son jeune âge et du fait qu'il a subi avec succès les examens de la maturité fédérale, s'apprête à entreprendre des études universitaires, et mène une vie stable auprès de sa mère et ses deux frères.</w:t>
      </w:r>
    </w:p>
    <w:p>
      <w:r>
        <w:rPr>
          <w:b/>
        </w:rPr>
        <w:t>E. 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Moreillon et Piguet, Procédure pénale vaudoise, Code annoté, 2 ème éd., Lausanne 2004., n.1.4 ad art. 415 CPP; ATF 127 IV 101, c. 2c; ATF 122 IV 156, c. 3b; ATF 116 IV 288, c. 2b).</w:t>
      </w:r>
    </w:p>
    <w:p>
      <w:r>
        <w:rPr>
          <w:b/>
        </w:rPr>
        <w:t>E. 12.2</w:t>
      </w:r>
    </w:p>
    <w:p>
      <w:r>
        <w:t>En l'espèce, le jugement entrepris précise qu'K.________ est né en 1990 et qu'il est étudiant. Les premiers juges ont donc pris en compte la situation personnelle du prévenu. Pour fixer la peine, le tribunal pouvait cependant, comme il l'a fait, considérer le rôle déterminant joué par le recourant dans le brigandage, sa réticence à collaborer à l'instruction ainsi que le manque de prise de conscience de la gravité de ses actes. En outre, dès lors que les premiers juges retiennent le concours d'infractions - le recourant ayant été condamné pour brigandage, violation de domicile, induction de la justice en erreur ainsi que pour infraction et contravention à la LStup – le recourant est passible d'une peine privative de liberté d'un maximum de 15 ans. On ne saurait donc considérer qu'en fixant une peine de 2 ans et demi (30 mois), le Tribunal a fait preuve d'une excessive sévérité. Partant, c'est également en vain que le recourant conteste la quotité de la peine.</w:t>
      </w:r>
    </w:p>
    <w:p>
      <w:r>
        <w:rPr>
          <w:b/>
        </w:rPr>
        <w:t>E. 13</w:t>
      </w:r>
    </w:p>
    <w:p>
      <w:r>
        <w:t>Vu ce qui précède et dès lors que la peine encourue par K.________ est supérieure à 24 mois, le sursis complet n'entre pas en ligne de compte.</w:t>
      </w:r>
    </w:p>
    <w:p>
      <w:r>
        <w:rPr>
          <w:b/>
        </w:rPr>
        <w:t>E. 13.1</w:t>
      </w:r>
    </w:p>
    <w:p>
      <w:r>
        <w:t>Reste à examiner si le sursis partiel accordé par les premiers juges respecte la loi. Aux termes de l'art. 43 al. 3 CP, en cas de sursis partiel à l'exécution d'une peine privative de liberté, la partie suspendue, de même que la partie à exécuter, doivent être de six mois au moins. Les règles d'octroi de la libération conditionnelle ne lui sont pas applicables.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w:t>
      </w:r>
    </w:p>
    <w:p>
      <w:r>
        <w:rPr>
          <w:b/>
        </w:rPr>
        <w:t>E. 13.2</w:t>
      </w:r>
    </w:p>
    <w:p>
      <w:r>
        <w:t>In casu, si l'on considère les faits incriminés, ainsi que l'attitude du recourant en cours d'enquête et aux débats, un sursis partiel se justifiait en dépit d'un casier judiciaire vierge. Sur ce point, le jugement est donc conforme au droit. Au demeurant, les premiers juges ont tenu compte de l'effet de la peine sur l'avenir du condamné puisque la partie ferme de la peine est réduite au minimum de six mois prévu par la loi. Cet grief est également mal fondé et doit être rejeté.</w:t>
      </w:r>
    </w:p>
    <w:p>
      <w:r>
        <w:rPr>
          <w:b/>
        </w:rPr>
        <w:t>E. 14</w:t>
      </w:r>
    </w:p>
    <w:p>
      <w:r>
        <w:t>En définitive, le recours en réforme d'K.________ doit être rejeté. Vu le sort du recours, les frais de deuxième instance doivent être mis, par moitié, à la charge K.________ (art. 450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