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32 vom 12. November 2010</w:t>
      </w:r>
    </w:p>
    <w:p>
      <w:r>
        <w:t>VD Tribunal cantonal, 2010-11-12, FR</w:t>
      </w:r>
    </w:p>
    <w:p>
      <w:r>
        <w:rPr>
          <w:b/>
        </w:rPr>
        <w:t xml:space="preserve">Quelle: </w:t>
      </w:r>
      <w:r>
        <w:t>https://mcp.opencaselaw.ch/entscheid/vd_findinfo_AP___2011___32</w:t>
      </w:r>
    </w:p>
    <w:p>
      <w:r>
        <w:t>FR: VD_FINDINFO AP / 2011 / 32 du 12 novembre 2010</w:t>
      </w:r>
    </w:p>
    <w:p>
      <w:r>
        <w:t>IT: VD_FINDINFO AP / 2011 / 32 del 12 novembre 2010</w:t>
      </w:r>
    </w:p>
    <w:p>
      <w:pPr>
        <w:pStyle w:val="Heading2"/>
      </w:pPr>
      <w:r>
        <w:t>Regeste</w:t>
      </w:r>
    </w:p>
    <w:p>
      <w:r>
        <w:t>PEINE PRIVATIVE DE LIBERTÉ, PEINE PÉCUNIAIRE, PEINE COMPLÉMENTAIRE, PEINE D'ENSEMBLE, SÉJOUR ILLÉGAL, TORT MORAL, EXEMPTION DE PEINE, FIXATION DE LA PEINE | 44 al. 1 CO, 47 CO, 34 CP, 44 al. 1 CP, 47 CP, 49 al. 1 CP, 49 al. 2 CP, 54 CP, 23 al. 1 LSEE, 23 LSEE, 115 LEtr</w:t>
      </w:r>
    </w:p>
    <w:p>
      <w:pPr>
        <w:pStyle w:val="Heading2"/>
      </w:pPr>
      <w:r>
        <w:t>Erwägungen</w:t>
      </w:r>
    </w:p>
    <w:p>
      <w:r>
        <w:rPr>
          <w:b/>
        </w:rPr>
        <w:t>E. 1</w:t>
      </w:r>
    </w:p>
    <w:p>
      <w:r>
        <w:t>Il y a lieu de statuer d'abord sur les conclusions subsidiaires en nullité du recours, dont l'admission serait de nature à priver d'objet ses conclusions principales en réforme.</w:t>
      </w:r>
    </w:p>
    <w:p>
      <w:r>
        <w:rPr>
          <w:b/>
        </w:rPr>
        <w:t>E. 2</w:t>
      </w:r>
    </w:p>
    <w:p>
      <w:r>
        <w:t>Faisant grief au tribunal correctionnel d'avoir violé l'art. 372 CPP et se prévalant de l'art. 411 let. g CPP, le recourant reproche d'abord aux premiers juges d'avoir omis de statuer sur le rejet de ses conclusions civiles dans le dispositif du jugement, alors même que ce point est mentionné dans les considérants sans motif ouvrant la voie au moyen de nullité invoqué. Il s'agit ainsi d'une omission manifeste qui ne fonde pas un motif de nullité, faute d'être de nature à influer sur la décision attaquée. Le dispositif du jugement doit être complété d'office par un chiffre portant sur les conclusions civiles, dont le sort – qui relève du droit matériel - sera examiné sous l'angle de la réforme.</w:t>
      </w:r>
    </w:p>
    <w:p>
      <w:r>
        <w:rPr>
          <w:b/>
        </w:rPr>
        <w:t>E. 3</w:t>
      </w:r>
    </w:p>
    <w:p>
      <w:r>
        <w:t>Se prévalant de l'art. 411 let. h CPP, le recourant reproche ensuite au tribunal correctionnel un défaut de motivation dans la mesure où le jugement retient que l'effet dissuasif d'une peine privative de liberté apparaissait indispensable compte tenu de sa situation personnelle et de son environnement social. La situation personnelle du recourant et son environnement social sont décrits à satisfaction dans le jugement, ainsi que sa situation familiale. L'état de fait du jugement comporte dès lors tous les éléments nécessaires pour statuer sur le genre de la peine. Cela étant, l'appréciation de ces critères en droit matériel relève de la réforme et sera examinée au titre des conclusions principales du recours.</w:t>
      </w:r>
    </w:p>
    <w:p>
      <w:r>
        <w:rPr>
          <w:b/>
        </w:rPr>
        <w:t>E. 4</w:t>
      </w:r>
    </w:p>
    <w:p>
      <w:r>
        <w:t>Le recourant croit enfin déceler une contradiction au sens de l'art. 411 let. h CPP dans le fait que, d'une part, sa situation personnelle est retenue comme un élément négatif, donc en faveur d'une peine privative de liberté, alors même qu'elle est ensuite prise en compte en faveur du sursis. En outre, le jugement serait contradictoire dans la mesure où il s'écarte des bons renseignements fournis aux débats par un ami de la famille du recourant. Rien n'autorise pourtant à penser que la situation personnelle du recourant a été considérée comme un élément négatif pour déterminer le genre de la peine. Aussi bien, si le choix de la peine est une chose, le pronostic en est une autre. Or, le pronostic a été considéré comme n'étant pas défavorable, à telle enseigne que la peine privative de liberté et la peine pécuniaire ont été assorties du sursis. C'est dire que la situation personnelle du recourant a été retenue en sa faveur. Pour le reste, l'appréciation des critères déterminants pour le choix de la peine relève du droit matériel et, partant, de la réforme. Elle sera donc examinée dans ce cadre. Le recours en nullité doit ainsi être rejeté.</w:t>
      </w:r>
    </w:p>
    <w:p>
      <w:r>
        <w:rPr>
          <w:b/>
        </w:rPr>
        <w:t>E. 5</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6.1 Le premier moyen de réforme du recours est déduit du principe ne bis in idem . Le recourant fait valoir que rien ne permet de considérer que la condamnation prononcée par l'autorité préfectorale ne visait qu'une période antérieure au 19 septembre 2006. Le prononcé datant du 7 mars 2007, cette condamnation réprimerait en réalité, selon le recourant, le séjour illégal jusqu'à cette dernière date. Le recourant considère ainsi avoir été condamné deux fois pour la période allant du 19 septembre 2006 au 7 mars 2007, dès lors que le jugement entrepris retient qu'il avait séjourné et travaillé illégalement en Suisse dès le 19 septembre 2006. Il se prévaut de deux arrêts fédéraux publiés (ATF 118 IV 269, JT 1995 IV 18 et ATF 135 IV 6, JT 2010 IV 61). 6.2 Il doit, à cet égard, être précisé liminairement que cette première condamnation a été prononcée exclusivement en application de l'ancienne loi fédérale du 26 mars 1931 sur le séjour et l’établissement des étrangers, en vigueur jusqu'au 31 décembre 2007 (cf. LEtr, Abrogation et modification du droit en vigueur, ch. I; cf. aussi l'art. 128 al. 2 LEtr et l'arrêté du Conseil fédéral du 24 octobre 2007 fixant la date de l'entrée en vigueur de la novelle). L'ancienne loi (cf. l'art. 23 al. 1 LSEE) ne réprimait pas séparément le travail sans autorisation (CCASS, 20 avril 2009, n° 148, c. 2d). Le premier des arrêts dont se prévaut le recourant a été rendu en application de l'ancienne législation sur le service de protection civile. Il statue que, lorsqu'une première peine a été prononcée pour réprimer un refus total d'accomplir tout service de protection civile et par conséquent aussi des désobéissances futures, une nouvelle condamnation et une nouvelle peine pour refus de donner suite à une convocation violent alors le principe ne bis in idem (ATF 118 IV 269, précité, spéc. c. 4b et 5). Cet arrêt n'est pas transposable à la présente affaire. En effet, l'ancienne législation en matière de protection civile (art. 84 ch. 1 al. 3 let. a et ch. 2 LPCI, en vigueur jusqu'au 31 décembre 2003 [art. 77 al. 2 LPPCi et arrêté du Conseil fédéral du 30 octobre 2003 sur cet objet]) réprime tout refus ultérieur de service. Or, le droit des étrangers, s'agissant tant de la LSEE que de la LEtr, ne comporte aucune disposition générale réprimant tout refus ultérieur de quitter la Suisse. Toute analogie en la matière s'avère dès lors vaine. Le recourant sollicite également le second arrêt publié dont il se prévaut. En effet, il s'agit d'une confirmation de jurisprudence selon laquelle le principe ne bis in idem ne s'oppose pas à une nouvelle condamnation à raison de faits non couverts par le premier jugement (ATF 135 IV 6, précité, c. 3), ce qui est précisément l'objet du jugement ici entrepris. c) Cela étant, il reste à déterminer si le prononcé préfectoral du 7 mars 2007 couvre uniquement la période de séjour illégal antérieure au 19 septembre 2006. Tel est bien le cas (pièce 46/1). Il s'ensuit que la condamnation préfectorale ne réprimait pas les actes perpétrés en violation du droit des étrangers entre le 19 septembre 2006 et le 7 mars 2007. S'agissant d'un séjour illicite continu, ces actes n'avaient ainsi alors pas fait l'objet d'une décision. C'est donc à tort que le recourant soutient qu'il doit être mis au bénéfice du principe ne bis in idem . Cela étant, sous l'angle du choix de la peine, les premiers juges ont tenu compte du fait que la peine infligée était partiellement complémentaire à celle prononcée par l'autorité préfectorale, si bien qu'il a été tenu compte de cette première sanction conformément à l'art. 49 al. 2 CP.</w:t>
      </w:r>
    </w:p>
    <w:p>
      <w:r>
        <w:rPr>
          <w:b/>
        </w:rPr>
        <w:t>E. 7</w:t>
      </w:r>
    </w:p>
    <w:p>
      <w:r>
        <w:t>Le deuxième moyen de réforme du recours est déduit d'une fausse application de l'art. 47 CP. Soutenant que la peine privative de liberté qui lui a été infligée est arbitrairement sévère (ch. 41 du recours), le recourant reproche aux premiers juges d’avoir accordé un poids excessif à un critère d'ordre général, voire relevant d'un risque hypothétique, à savoir la dangerosité des bagarres en discothèque. 7.1a)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rPr>
          <w:b/>
        </w:rPr>
        <w:t>E. 7.2</w:t>
      </w:r>
    </w:p>
    <w:p>
      <w:r>
        <w:t>En l’espèce, les premiers juges ont apprécié la gravité de la faute du recourant en renvoyant aux critères généraux appliqués aux autres accusés avant l'examen de sa culpabilité, comme cela ressort de l'introduction "Comme pour les autres accusés, (…)". Une bagarre généralisée dans une discothèque en période d'affluence nocturne n'a rien d'anodin au regard des risques créés. Partant, c'est à bon droit que le tribunal correctionnel a retenu, comme pour les autres participants à la rixe, que le comportement incriminé était dangereux et illustrait une culpabilité importante. Qui plus est, le recourant persiste, en dépit d'années de séjour illicite, à ne pas vouloir quitter la Suisse. La pétition déposée en sa faveur et en faveur d'individus en situation analogue n'y change rien. C'est également à bon droit que le tribunal correctionnel a exclu comme élément à décharge le fait que le recourant travaillait. En effet, toute activité lucrative lui est interdite du fait de son séjour illicite et son exercice constitue un délit en vertu de la législation pénale spéciale (art. 115 al. 1 let. b et c LEtr), étant précisé que l'art. 23 al. 1 et 6 LSEE (en vigueur jusqu'au 31 décembre 2007) ne réprime pas spécifiquement l'activité lucrative exercée en Suisse sans autorisation par un étranger, mais se limite à la sanctionner du même pas que le séjour illicite en Suisse dont elle procède (cf. CCASS, 20 avril 2009, n° 148, précité, ibid.). Au surplus, le tribunal n’a pas tenu compte d’éléments étrangers à l’art. 47 CP. Les éléments retenus, à charge et à décharge, sont ainsi pertinents. Au surplus, aucun élément déterminant au regard de l'art. 47 CP n'a été omis, respectivement ne s'est vu conférer une portée excessive ou insuffisante. La peine prononcée se situe dans le cadre légal, étant précisé, s'agissant de la principale infraction ici en cause, que l'art. 133 al. 1 CP réprime d’une peine privative de liberté de trois ans au plus ou d’une peine pécuniaire la participation à une rixe ayant entraîné la mort d’une personne ou une lésion corporelle. Compte tenu des autres circonstances mentionnées par les premiers juges, à savoir notamment le concours d'infractions et le mépris de l'ordre juridique affiché par le recourant, la quotité de la peine privative de liberté n'est pas arbitrairement sévère.</w:t>
      </w:r>
    </w:p>
    <w:p>
      <w:r>
        <w:rPr>
          <w:b/>
        </w:rPr>
        <w:t>E. 8</w:t>
      </w:r>
    </w:p>
    <w:p>
      <w:r>
        <w:t>Le troisième moyen de nullité du recours est déduit de l'art. 54 CP, dont le plaideur demande l'application à son bénéfice. Il soutient, s'agissant de la rixe, avoir été victime de sa propre infraction.</w:t>
      </w:r>
    </w:p>
    <w:p>
      <w:r>
        <w:rPr>
          <w:b/>
        </w:rPr>
        <w:t>E. 8.1</w:t>
      </w:r>
    </w:p>
    <w:p>
      <w:r>
        <w:t>Hormis le titre marginal " atteinte subie par l'auteur à la suite de son acte ", qui est nouveau, la teneur de l'art. 54 CP correspond à celle de l'art. 66 bis al. 1 aCP. Partant, la jurisprudence rendue en application de l'ancien droit reste applicable à l'aune du nouveau (cf. Favre/Pellet/Stoudmann, Code pénal annoté, 3 e éd., Lausanne 2007, n. 1.1 ad art. 54 CP; Roth/Moreillon [éd.], Commentaire romand, Bâle 2009, n. 8 ad art. 54 CP). Aux termes de l'art. 54 CP, si l'auteur a été directement atteint par les conséquences de son acte au point qu'une peine serait inappropriée, l'autorité compétente renonce à le poursuivre, à le renvoyer devant le juge ou à lui infliger une peine. Cette disposition est violée si elle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de répression doit prendre sa décision en analysant les circonstances concrètes du cas d'espèce et il dispose d'un large pouvoir d'appréciation (ATF 117 IV 245, c. 2a; 119 IV 280, c. 1a; 121 IV 162, c. 2d). Dans certains cas, il peut arriver qu'une exemption totale n'entre pas en considération, mais que l'importance de l'atteinte directe subie par l'auteur justifie une diminution de la quotité de la peine. Dans ces cas, l'art. 54 CP (art. 66 bis aCP) prévoit aussi une atténuation de la sanction selon le pouvoir d'appréciation du juge (ATF 119 IV 280, c. 1b; 121 IV 162, c. 2d). Toutefois, la disposition précitée, si elle n'est certes pas conçue comme une règle d'exception, ne doit cependant pas faire partie du quotidien des tribunaux, ni être interprétée extensivement (ATF 119 IV 280, c. 1b; Roth/Moreillon [éd.], op. cit., n. 3 ad art. 54; cf. aussi, sur tous ces points, CCASS, 14 novembre 2008, n° 452).</w:t>
      </w:r>
    </w:p>
    <w:p>
      <w:r>
        <w:rPr>
          <w:b/>
        </w:rPr>
        <w:t>E. 8.2</w:t>
      </w:r>
    </w:p>
    <w:p>
      <w:r>
        <w:t>En l'espèce, il n'apparaît pas que les blessures infligées au recourant dans le cours de la rixe aient été si extraordinaires par leur nature, leur ampleur ou leurs conséquences qu'une peine apparaisse inappropriée. Il s'agissant en effet de lésions corporelles simples, n'ayant occasionné qu'un dommage très imité, puisque confiné à une cicatrice sur le front. Bien plutôt, la participation du recourant à la bagarre était intentionnelle et c'est, comme déjà relevé, sans arbitraire aucun que les premiers juges ont retenu que la culpabilité de l'intéressé était importante. Le recourant ne peut dès lors se prévaloir de l'art. 54 CP.</w:t>
      </w:r>
    </w:p>
    <w:p>
      <w:r>
        <w:rPr>
          <w:b/>
        </w:rPr>
        <w:t>E. 9</w:t>
      </w:r>
    </w:p>
    <w:p>
      <w:r>
        <w:t>Le recourant critique ensuite le genre de la peine. Il conclut au prononcé d'une peine pécuniaire en lieu et place de la peine privative de liberté.</w:t>
      </w:r>
    </w:p>
    <w:p>
      <w:r>
        <w:rPr>
          <w:b/>
        </w:rPr>
        <w:t>E. 9.1</w:t>
      </w:r>
    </w:p>
    <w:p>
      <w:r>
        <w:t>A titre de sanctions, la nouvelle partie générale du Code pénal fait respectivement de la peine pécuniaire (art. 34 CP) et du travail d'intérêt général (art. 37 CP) la règle dans le domaine de la petite criminalité, de la peine pécuniaire et de la peine privative de liberté (art. 40 CP) la règle pour la criminalité moyenne (cf. ATF 134 IV 82, c. 4.1; TF 6B_541/2007 du 13 mai 2008). Dans cette conception,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ou celle qui le touche le moins durement (ATF 134 IV 82, c. 4.1; Message concernant la modification du Code pénal suisse [dispositions générales, entrée en vigueur et application du Code pénal] et du Code pénal militaire ainsi qu'une loi fédérale régissant la condition pénale des mineurs, du 21 septembre 1998, FF 1999 II 1787 ss, spéc. 1849, p. 2043).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d'arrêts, qui font obstacle à la socialisation de l'auteur, et de leur substituer d'autres sanctions (TF 6B_541/2007 du 13 mai 2008; ATF 134 IV 60, c. 4.3; Message 1998, p. 1791, 1822 s., 1834 et 1837; cf. aussi p. 1845 s). Pour choisir la nature de la peine, le juge doit prendre en considération l'opportunité de la sanction déterminée, ses effets sur l'auteur et son milieu social, ainsi que son efficacité préventive (TF 6B_28/2008 du 10 avril 2008, c. 4.1). Les peines privatives de liberté ne doivent ainsi être prononcées que lorsque l'Etat ne peut garantir d'une autre manière la sécurité publique (ATF 134 IV 82, précité, c. 4.1). Le juge doit en principe éviter les courtes peines de prison ou d'arrêts, qui font obstacle à la socialisation de l'auteur, pour leur substituer d'autres sanctions (TF 6B_541/2007 du 13 mai 2008, précité; ATF 134 IV 60, c. 4.3).</w:t>
      </w:r>
    </w:p>
    <w:p>
      <w:r>
        <w:rPr>
          <w:b/>
        </w:rPr>
        <w:t>E. 9.2</w:t>
      </w:r>
    </w:p>
    <w:p>
      <w:r>
        <w:t>Dans le cas particulier, on ne peut déduire du seul fait qu'une expulsion ou un renvoi apparaît présumable que la peine pécuniaire ne pourra pas être exécutée. Le Tribunal fédéral a en effet statué qu'une peine pécuniaire pouvait être prononcée même à l'encontre d'un recourant qui faisait l'objet d'une décision de renvoi passée en force (TF 6B_819/2008 du 26 décembre 2008); à plus forte raison en va-t-il de même lorsqu'une telle décision n'a pas encore été rendue (CCASS, du 6 juillet 2009, n° 284, c. 3e). Une peine pécuniaire, prévue par l'art. 133 al. 1 CP, ne saurait donc être exclue a priori. Il reste à déterminer si elle peut, seule, satisfaire à l'exigence de la prévention spéciale. A cet égard, si une peine privative de liberté est certes possible, il n'en reste pas moins qu'aucune circonstance ne justifie que l'on déroge à la règle selon laquelle une peine pécuniaire suffit à réprimer la petite délinquance, à laquelle se rattachent les infractions ici en cause. Le recourant n'a pas d'antécédent portant sur des infractions contre la vie et l'intégrité corporelle ou contre le patrimoine. La motivation des premiers juges à l'appui de la peine privative de liberté se rapportant à sa situation personnelle et à son environnement social n'est pas déterminante. La dangerosité du recourant n'est donc pas telle que seule une peine privative de liberté soit à même d'exercer l'effet dissuasif nécessaire. A cela s'ajoute que, comme en ont statué les premiers juges, l'un des chefs d'accusation retenus, à savoir l'infraction à la LSEE, exclut le prononcé d'une peine privative de liberté. En effet, faute d'une base légale explicite, l'art. 23 al. 1 LSEE, dans sa version en vigueur du 1 er janvier au 31 décembre 2007, applicable au titre de la lex mitior en cas d'infraction continue ayant débuté avant le 1 er janvier 2007 (cf. ATF 134 IV 60, c. 8.4, p. 81, confirmé par TF 6B_819/2008 précité), ne permettait pas de prononcer une condamnation à une peine privative de liberté, mais uniquement à une peine pécuniaire, d'une quotité de 180 jours au plus. Le prononcé d'une peine privative de liberté viole ainsi le droit fédéral. Ce moyen doit donc être admis.</w:t>
      </w:r>
    </w:p>
    <w:p>
      <w:r>
        <w:rPr>
          <w:b/>
        </w:rPr>
        <w:t>E. 9.3</w:t>
      </w:r>
    </w:p>
    <w:p>
      <w:r>
        <w:t>Les infractions étant en concours, il appartient à la cour de céans de prononcer une peine d'ensemble (art. 49 al. 1 CP) pour réprimer les infractions ici en cause, étant précisé que l'amende réprimant spécifiquement l'exercice d'activités lucratives en Suisse sans autorisation avant le 1 er janvier 2008 doit par principe être abandonnée au profit de cette nouvelle peine (cf. c 7.2 ci-dessus). Le caractère partiellement complémentaire de la nouvelle peine par rapport au prononcé préfectoral (art. 49 al. 2 CP) est au surplus incontesté. La peine privative de liberté prononcée équivaut à 180 jours-amende. Il y a lieu de considérer que la peine n'aurait pas été inférieure si le recourant n'avait commis aucune infraction à la LSEE, soit si son séjour illicite en Suisse n'avait pas débuté avant le 1 er janvier 2008 déjà. De même, à défaut de punissabilité spécifique de l'exercice d'une activité lucrative sans autorisation de séjour sous l'empire de la LSEE, la situation n'aurait pas été différente si le recourant s'était limité à séjourner illicitement en Suisse avant le 1 er janvier 2008 sans travailler. Du reste, dans sa teneur en vigueur du 1 er janvier au 31 décembre 2007, la plus favorable au recourant, la LSEE, prévoyait exclusivement une peine maximale de 180 jours, contre une peine de 180 jours pouvant être combinée avec une amende pour la teneur de la loi en vigueur jusqu'au 31 décembre 2006. Il y a donc lieu de faire abstraction tant de la quotité de la peine pécuniaire que de l'amende, ces sanctions réprimant l'une et l'autre spécifiquement des infractions à la LSEE. Partant, la quotité globale de la peine pécuniaire doit être arrêtée à celle de la peine privative de liberté, soit à 180 jours.</w:t>
      </w:r>
    </w:p>
    <w:p>
      <w:r>
        <w:rPr>
          <w:b/>
        </w:rPr>
        <w:t>E. 9.4</w:t>
      </w:r>
    </w:p>
    <w:p>
      <w:r>
        <w:t>La quotité du jour-amende doit aussi être vérifiée d'office. Il est constant que les revenus du recourant, énoncés à satisfaction par le jugement, sont des plus modiques, ce dont il y a lieu de tenir compte à l'aune de l'art. 34 al. 2 CP. Le montant du jour–amende ne saurait toutefois être réduit au point de ne plus avoir qu'une valeur symbolique (cf. TF 6B_217/2007 du 14 avril 2008, c. 2.1.5 et références citées; BJP 2007 n°190; CCASS, 18 juin 2007, n° 150; CCASS, 23 août 2010, n° 312). Tel n'est plus le cas lorsque le montant du jour-amende atteint la somme de 10 fr., en ce qui concerne les auteurs les plus démunis (ATF 135 IV 180, précité, c. 1.4.2, précisant la jurisprudence publiée aux ATF 134 IV 60, c. 6.5.2 p. 72). La quotité de 10 fr. retenue par les premiers juges, applicable aux faibles revenus, doit ainsi être confirmée.</w:t>
      </w:r>
    </w:p>
    <w:p>
      <w:r>
        <w:rPr>
          <w:b/>
        </w:rPr>
        <w:t>E. 10</w:t>
      </w:r>
    </w:p>
    <w:p>
      <w:r>
        <w:t>Le recourant critique ensuite la durée du délai d'épreuve, qu'il voudrait voir ramenée à deux ans.</w:t>
      </w:r>
    </w:p>
    <w:p>
      <w:r>
        <w:rPr>
          <w:b/>
        </w:rPr>
        <w:t>E. 10.1</w:t>
      </w:r>
    </w:p>
    <w:p>
      <w:r>
        <w:t>Aux termes de l'art. 44 al. 1 CP, si le juge suspend totalement ou partiellement l'exécution d'une peine, il impartit au condamné un délai d'épreuve de deux à cinq ans. La durée du délai d'épreuve ne saurait être fixée uniquement d'après la durée de la peine ou la gravité de l'infraction. Bien plus, le critère déterminant est le risque de récidive, qui se détermine d’après le caractère du condamné (Favre/Pellet/Stoudmann, op. cit., n. 1.2 ad art. 44 CP; Roth/Moreillon [éd.], op. cit., n. 7 ad art. 44 CP). Dans la mesure où la décision est fondée sur tous les éléments pertinents pour le pronostic futur, le juge jouit d'un large pouvoir d'appréciation (ATF 128 IV 193; ATF 118 IV 97, JT 1992 I 783, c. 2a; ATF 116 IV 279, c. 2a). La Cour de cassation n'intervient que si le premier juge n'a pas motivé sa décision, l'a fondée sur des arguments juridiques critiquables ou sur un raisonnement manifestement insoutenable, ou encore s'il a outrepassé son pouvoir d'appréciation (JT 1991 III 19, c. 7, p. 25).</w:t>
      </w:r>
    </w:p>
    <w:p>
      <w:r>
        <w:rPr>
          <w:b/>
        </w:rPr>
        <w:t>E. 10.2</w:t>
      </w:r>
    </w:p>
    <w:p>
      <w:r>
        <w:t>En l’espèce, le recourant a un antécédent et persiste, depuis des années, à faire fi de l'ordre juridique. Sa situation socio-professionnelle est en outre précaire. Il est donc particulièrement exposé à la récidive. Les premiers juges n'ont dès lors pas outrepassé leur large pouvoir d'appréciation en lui impartissant un délai d'épreuve de trois ans.</w:t>
      </w:r>
    </w:p>
    <w:p>
      <w:r>
        <w:rPr>
          <w:b/>
        </w:rPr>
        <w:t>E. 11</w:t>
      </w:r>
    </w:p>
    <w:p>
      <w:r>
        <w:t>Le recourant conclut enfin à la réforme du jugement en ce sens que ses conclusions civiles à l'encontre de l'intimé G.________ lui soient allouées à hauteur de 3'000 fr. en capital au titre de réparation du tort moral.</w:t>
      </w:r>
    </w:p>
    <w:p>
      <w:r>
        <w:rPr>
          <w:b/>
        </w:rPr>
        <w:t>E. 11.1</w:t>
      </w:r>
    </w:p>
    <w:p>
      <w:r>
        <w:t>Aux termes de l'art. 47 CO, le juge peut, en tenant compte de circonstances particulières, allouer à la victime de lésions corporelles une indemnité équitable à titre de réparation morale. L'art. 47 CO définit un cas particulier de l'action générale en réparation du tort moral prévue par l'art. 49 CO. Les facteurs de réduction prévus à l'art. 44 al. 1 CO doivent être pris en considération.</w:t>
      </w:r>
    </w:p>
    <w:p>
      <w:r>
        <w:rPr>
          <w:b/>
        </w:rPr>
        <w:t>E. 11.2</w:t>
      </w:r>
    </w:p>
    <w:p>
      <w:r>
        <w:t>En l'espèce, le recourant est à l'origine de son dommage, dès lors qu'il a participé de manière active à la rixe pour s'être battu avec un autre des protagonistes avant même d'avoir reçu à la tête la chaise lancée par l'intimé. Il lui aurait été loisible d'échapper à l'échauffourée en quittant les lieux. Il a ainsi consenti au risque. Sa faute concomitante doit dès lors être qualifiée de lourde. Toute indemnité pour tort moral en sa faveur doit donc être exclue en application de l'art. 44 al. 1 CO (cf. ATF 128 II 49, c. 4.2). L'examen de l'étendue du préjudice subi est dès lors sans objet.</w:t>
      </w:r>
    </w:p>
    <w:p>
      <w:r>
        <w:rPr>
          <w:b/>
        </w:rPr>
        <w:t>E. 12</w:t>
      </w:r>
    </w:p>
    <w:p>
      <w:r>
        <w:t>En conclusion, le recours doit être admis dans la mesure ci-dessus et le jugement réformé en ce sens que le recourant est condamné à une peine de 180 jours-amende, le montant du jour-amende étant fixé à 10 fr., cette peine étant partiellement complémentaire à celle qui lui a été infligée le 7 mars 2007 par la Préfecture de Lausanne. Le dispositif du jugement est au surplus complété en ce sens que les conclusions civiles du recourant sont rejetées. Le jugement est confirmé pour le surplus. Vu l'issue du recours, les frais de deuxième instance, y compris l'indemnité allouée au défenseur d'office du recourant, par 1'360 fr. 80, TVA comprise, et celle allouée au conseil d'office de l'intimé, par 400 fr., sont mis par moitié à la charge du recourant, le solde restant à la charge de l'Etat. Le remboursement à l'Etat, par le recourant, de l'indemnité due à son défenseur d'office sera exigible de lui pour autant que sa situation économique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