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140 vom 19. Juli 2010</w:t>
      </w:r>
    </w:p>
    <w:p>
      <w:r>
        <w:t>VD Tribunal cantonal, 2010-07-19, FR</w:t>
      </w:r>
    </w:p>
    <w:p>
      <w:r>
        <w:rPr>
          <w:b/>
        </w:rPr>
        <w:t xml:space="preserve">Quelle: </w:t>
      </w:r>
      <w:r>
        <w:t>https://mcp.opencaselaw.ch/entscheid/vd_findinfo_AP___2011___140</w:t>
      </w:r>
    </w:p>
    <w:p>
      <w:r>
        <w:t>FR: VD_FINDINFO AP / 2011 / 140 du 19 juillet 2010</w:t>
      </w:r>
    </w:p>
    <w:p>
      <w:r>
        <w:t>IT: VD_FINDINFO AP / 2011 / 140 del 19 luglio 2010</w:t>
      </w:r>
    </w:p>
    <w:p>
      <w:pPr>
        <w:pStyle w:val="Heading2"/>
      </w:pPr>
      <w:r>
        <w:t>Regeste</w:t>
      </w:r>
    </w:p>
    <w:p>
      <w:r>
        <w:t>FIXATION DE LA PEINE | 34 CP, 42 CP, 47 CP, 49 CP</w:t>
      </w:r>
    </w:p>
    <w:p>
      <w:pPr>
        <w:pStyle w:val="Heading2"/>
      </w:pPr>
      <w:r>
        <w:t>Erwägungen</w:t>
      </w:r>
    </w:p>
    <w:p>
      <w:r>
        <w:rPr>
          <w:b/>
        </w:rPr>
        <w:t>E. 1.1</w:t>
      </w:r>
    </w:p>
    <w:p>
      <w:r>
        <w:t>L'autorité cantonale, à laquelle la cause est renvoyée à la suite de l'admission d'un recours en matière pénale, est liée par l'arrêt de renvoi, principe qui découle directement du rôle confié au Tribunal fédéral par la Constitution (art. 188 al. 1 Cst; Message du 28 février 2001 concernant la révision totale de l'organisation judiciaire fédérale, FF 2001 4143 ch. 4.1.4.5 in fine). On peut donc se référer à la jurisprudence rendue à propos de l'ancien art. 277ter PPF (TF 6B_161/2009 du 7 mai 2009, c. 2.2). En vertu de celle-ci, lorsque le Tribunal fédéral, saisi d'un pourvoi en nullité, annulait l'arrêt cantonal et renvoyait la cause à l'autorité cantonale, celle-ci devait, selon l'ancien art. 277ter PPF,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(arrêt précité, ibid.).</w:t>
      </w:r>
    </w:p>
    <w:p>
      <w:r>
        <w:rPr>
          <w:b/>
        </w:rPr>
        <w:t>E. 1.2</w:t>
      </w:r>
    </w:p>
    <w:p>
      <w:r>
        <w:t>Dans le cas particulier, l'arrêt cantonal a été annulé pour violation du droit fédéral, dès lors qu'aucun des documents ici en cause ne pouvait fonder une condamnation pour faux dans les titres (cf. c. 2.3). Le dossier a donc été renvoyé à la cour de céans pour qu'elle fixe à nouveau, avec suite de frais, la peine à infliger à N.________ en fonction de l'infraction de contrainte (non contestée). L'examen de la présente affaire se limitera à cette seule question (CCASS 26 septembre 2011/91, c.1).</w:t>
      </w:r>
    </w:p>
    <w:p>
      <w:r>
        <w:rPr>
          <w:b/>
        </w:rPr>
        <w:t>E. 1.3</w:t>
      </w:r>
    </w:p>
    <w:p>
      <w:r>
        <w:t>Contrairement à ce que soutient N.________, l'ancien code de procédure pénale vaudois du 12 septembre 1967 (CPP-VD; RSV 312.01) reste applicable à la présente procédure, s'agissant d'examiner la conformité au droit d'un jugement de première instance rendu le 19 juillet 2010, soit avant l'entrée en vigueur, au 1 er janvier 2011, du Code de procédure pénale suisse (art. 453 al. 1 CPP; Code de procédure pénale suisse du 5 octobre 2007; RS 312.0). C'est d'ailleurs à la Cour de cassation pénale du canton de Vaud que le Tribunal fédéral à renvoyé l'affaire.</w:t>
      </w:r>
    </w:p>
    <w:p>
      <w:r>
        <w:rPr>
          <w:b/>
        </w:rPr>
        <w:t>E. 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w:t>
      </w:r>
    </w:p>
    <w:p>
      <w:r>
        <w:rPr>
          <w:b/>
        </w:rPr>
        <w:t>E. 2.2</w:t>
      </w:r>
    </w:p>
    <w:p>
      <w:r>
        <w:t>La question du concours réel rétrospectif se pose, N.________ ayant déjà été condamné le 7 septembre 2007 et le 19 février 2010 (cf. supra, let. b ch. 2) et les actes qui font l'objet de la présente procédure (commis en 2003) étant antérieurs à ces condamnations. L'art. 49 al. 2 CP 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D'après la jurisprudence fédérale,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 3.3.1, ainsi que la doctrine et la jurisprudence citées).</w:t>
      </w:r>
    </w:p>
    <w:p>
      <w:r>
        <w:rPr>
          <w:b/>
        </w:rPr>
        <w:t>E. 2.3</w:t>
      </w:r>
    </w:p>
    <w:p>
      <w:r>
        <w:t>En l'espèce, la culpabilité de N.________ est lourde. A sa charge, on reteindra qu'il n'a pas hésité à rendre sa propre justice en utilisant des méthodes d'un autre temps à l'encontre de deux de ses employés qu'il soupçonnait d'être impliqués dans le cambriolage du [...] : plusieurs interrogatoires musclés chez X.________ puis dans le dépôt du [...], présence d'un tiers au physique impressionnant pour mettre la pression, coups, menaces de mort à plusieurs reprises, dont une fois avec un pistolet pointé sur la tempe. Ces menaces ont d'ailleurs été prises au sérieux par les victimes, qui ont renoncé à déposer plainte, certainement mues par une crainte légitime de représailles. Toujours à la charge de N.________ on relèvera que celui-ci avait déjà été condamné trois ans avant les faits, en 2000, à une peine d'emprisonnement avec sursis pour lésions corporelles simples. La sévérité qui doit être de mise sera toutefois tempérée par l'écoulement du temps (8 ans depuis les faits). Pour tenir compte concours réel rétroactif d'infractions, la peine d'ensemble sera fixée en considérant l'infraction la plus grave ­ ici, la contrainte (art. 181 CP) ­ qui est passible d'une peine privative de liberté de trois ans au plus ou d'une peine pécuniaire. Compte tenu de l'ensemble de ces éléments, une peine complémentaire de quotité moyenne de sept mois (210 jours), qui vient s'ajouter à celles de 30 jours-amende et 12 jours-amende qui ont déjà été prononcées, est adéquate.</w:t>
      </w:r>
    </w:p>
    <w:p>
      <w:r>
        <w:rPr>
          <w:b/>
        </w:rPr>
        <w:t>E. 3</w:t>
      </w:r>
    </w:p>
    <w:p>
      <w:r>
        <w:t>N.________ demande qu'une peine pécuniaire soit prononcée.</w:t>
      </w:r>
    </w:p>
    <w:p>
      <w:r>
        <w:rPr>
          <w:b/>
        </w:rPr>
        <w:t>E. 3.1</w:t>
      </w:r>
    </w:p>
    <w:p>
      <w:r>
        <w:t>Pour les peines de six mois à une année, la loi prévoit une peine privative de liberté ou une peine pécuniaire (art. 34 al. 1 et 40 CP).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du 10 avril 2008 6B_28/2008, c.4.1 et la jurisprudence citée; ATF 134 IV 109 = JT 2009 I 554, c. 4). Une peine pécuniaire peut être exclue pour des motifs de prévention spéciale (TF du 14 juin 2011, 6B_128/2011, c. 3.4) ou si elle n'est pas exécutable parce qu'elle prive le prévenu du nécessaire, voire de l'indispensable.</w:t>
      </w:r>
    </w:p>
    <w:p>
      <w:r>
        <w:rPr>
          <w:b/>
        </w:rPr>
        <w:t>E. 3.2</w:t>
      </w:r>
    </w:p>
    <w:p>
      <w:r>
        <w:t>Le passé judiciaire de N.________ montre qu'il a déjà été condamné à une peine d'emprisonnement avec sursis pour des violences. Aux débats de première instance, il a paru quelque peu roué, et n'a eu de cesse de minimiser les faits reprochés. En faveur du prévenu on relèvera toutefois que celui-ci a fait relativement bonne impression au tribunal en répondant spontanément aux questions qui lui étaient posées (jugement p. 16). En outre, nonobstant les antécédents de l'intéressé, il n'apparaît pas qu'une peine pécuniaire n'exercerait pas un effet préventif suffisant. On ne se trouve donc pas dans un cas où une peine privative de liberté devrait être prononcée pour des motifs de prévention spéciale. Enfin, une peine pécuniaire est exécutable en l'espèce puisque N.________ se trouve dans une situation personnelle et professionnelle stable : il réside en Suisse depuis 1979 et gagne un salaire mensuel brut de 5'600 francs. Une peine pécuniaire s'avère donc adéquate.</w:t>
      </w:r>
    </w:p>
    <w:p>
      <w:r>
        <w:rPr>
          <w:b/>
        </w:rPr>
        <w:t>E. 4</w:t>
      </w:r>
    </w:p>
    <w:p>
      <w:r>
        <w:t>S'agissant de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 et du minimum vital. Par revenu, il faut entendre le salaire mensuel net (Message 1998, p. 1825) au moment du jugement entrepris. Au chapitre des déductions, les frais hypothécaires, les dettes privées et les frais de logement ne sont en principe pas pris en compte (TF du 18 mars 2008 6B_366/2007, c. 6.4). Dans le cas présent, il faut considérer, à titre de revenu, le salaire brut annoncé par N.________ aux débats de première instance, soit 5'600 fr. par mois. Sur cette base, la valeur du jour-amende peut être fixée à 50 fr., qui correspond au montant arrêté par le Juge d'instruction de l'arrondissement de Lausanne en février 2010, cinq mois avant le jugement entrepris.</w:t>
      </w:r>
    </w:p>
    <w:p>
      <w:r>
        <w:rPr>
          <w:b/>
        </w:rPr>
        <w:t>E. 5</w:t>
      </w:r>
    </w:p>
    <w:p>
      <w:r>
        <w:t>Il reste à examiner si la peine de 210 jours-amende à 50 fr. infligée à N.________ pour infraction à l'art. 181 CP peut être assortie du sursis.</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(ATF 134 IV 1 c.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w:t>
      </w:r>
    </w:p>
    <w:p>
      <w:r>
        <w:rPr>
          <w:b/>
        </w:rPr>
        <w:t>E. 5.2</w:t>
      </w:r>
    </w:p>
    <w:p>
      <w:r>
        <w:t>En l'espèce, le recourant été condamné en l'an 2000 (trois ans avant les faits incriminés) à une peine d'emprisonnement de 20 jours avec sursis pendant deux ans, pour lésions corporelles. Ce nonobstant, aucun pronostic défavorable ne peut être posé. Un sursis doit donc lui être accordé.</w:t>
      </w:r>
    </w:p>
    <w:p>
      <w:r>
        <w:rPr>
          <w:b/>
        </w:rPr>
        <w:t>E. 6</w:t>
      </w:r>
    </w:p>
    <w:p>
      <w:r>
        <w:t>L'art. 44 al. 1 CP prévoit que si le juge suspend partiellement ou totalement l'exécution d'une peine, il impartit au condamné un délai d'épreuve de deux à cinq ans.</w:t>
      </w:r>
    </w:p>
    <w:p>
      <w:r>
        <w:rPr>
          <w:b/>
        </w:rPr>
        <w:t>E. 6.1</w:t>
      </w:r>
    </w:p>
    <w:p>
      <w:r>
        <w:t>Pour fixer la durée du délai d'épreuve,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w:t>
      </w:r>
    </w:p>
    <w:p>
      <w:r>
        <w:rPr>
          <w:b/>
        </w:rPr>
        <w:t>E. 6.2</w:t>
      </w:r>
    </w:p>
    <w:p>
      <w:r>
        <w:t>En l'espèce, il convient de tenir compte de la personnalité de N.________ qui ressort de son passé judiciaire et de son attitude durant la procédure, et de fixer, comme les premiers juges, un délai d'épreuve de trois ans, légèrement supérieur au minimum légal. Ce délai est suffisant pour détourner l'intéressé de la commission de nouvelles infractions (TF 4 juin 2010 6B_101/2010 c. 2).</w:t>
      </w:r>
    </w:p>
    <w:p>
      <w:r>
        <w:rPr>
          <w:b/>
        </w:rPr>
        <w:t>E. 7</w:t>
      </w:r>
    </w:p>
    <w:p>
      <w:r>
        <w:t>En définitive, le recours doit être admis, et le jugement rendu le 19 juillet 2010 par le Tribunal correctionnel de l'arrondissement de Lausanne doit être réformé en ce sens que N.________ est reconnu coupable de contrainte et qu'il est condamné à une peine de 210 jours-amende à 50 fr. avec sursis pendant 3 ans.</w:t>
      </w:r>
    </w:p>
    <w:p>
      <w:r>
        <w:rPr>
          <w:b/>
        </w:rPr>
        <w:t>E. 8</w:t>
      </w:r>
    </w:p>
    <w:p>
      <w:r>
        <w:t>Vu ce qui précède, les frais de première instance doivent être mis à la charge de N.________, à concurrence de 4'562.80, y compris un tiers de l'indemnité allouée à son défenseur d'office, Me Pelot, par 7'900 fr. hors TVA. Les frais de seconde instance (art. 450 al. 2 CPP-VD), par 1'948 fr. 80, y compris l'indemnité allouée au défenseur d'office du recourant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