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135 vom 17. Dezember 2010</w:t>
      </w:r>
    </w:p>
    <w:p>
      <w:r>
        <w:t>VD Tribunal cantonal, 2010-12-17, FR</w:t>
      </w:r>
    </w:p>
    <w:p>
      <w:r>
        <w:rPr>
          <w:b/>
        </w:rPr>
        <w:t xml:space="preserve">Quelle: </w:t>
      </w:r>
      <w:r>
        <w:t>https://mcp.opencaselaw.ch/entscheid/vd_findinfo_AP___2011___135</w:t>
      </w:r>
    </w:p>
    <w:p>
      <w:r>
        <w:t>FR: VD_FINDINFO AP / 2011 / 135 du 17 décembre 2010</w:t>
      </w:r>
    </w:p>
    <w:p>
      <w:r>
        <w:t>IT: VD_FINDINFO AP / 2011 / 135 del 17 dicembre 2010</w:t>
      </w:r>
    </w:p>
    <w:p>
      <w:pPr>
        <w:pStyle w:val="Heading2"/>
      </w:pPr>
      <w:r>
        <w:t>Regeste</w:t>
      </w:r>
    </w:p>
    <w:p>
      <w:r>
        <w:t>VIOLATION D'UNE OBLIGATION D'ENTRETIEN | 217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w:t>
      </w:r>
    </w:p>
    <w:p>
      <w:r>
        <w:rPr>
          <w:b/>
        </w:rPr>
        <w:t>E. 2.1</w:t>
      </w:r>
    </w:p>
    <w:p>
      <w:r>
        <w:t>Dans son arrêt du 19 juillet 2011, le Tribunal fédéral a admis que le salaire imputable au recourant était de 1'672 £, soit celui dont il bénéficiait avant de recommencer ses études. En revanche, il a reproché à la juridiction cantonale d'avoir arbitrairement inclus les impôts retenus à la source dans les ressources imputées au recourant. Il a noté à cet égard que seules les ressources concrètes qu'aurait pu se procurer le recourant étaient déterminantes et qu'en l'occurrence, le montant retenu à la source échappait à toute disponibilité. Il a donc admis le recours sur ce point. Partant, compte tenu du cours de change moyen (2.5) du mois de décembre 2003 au mois de mars 2008, il y a lieu de prendre en considération un revenu de 4'180 fr. (1'672 £ x 2.5), soit le revenu que le recourant réalisait avant de recommencer ses études.</w:t>
      </w:r>
    </w:p>
    <w:p>
      <w:r>
        <w:rPr>
          <w:b/>
        </w:rPr>
        <w:t>E. 2.2</w:t>
      </w:r>
    </w:p>
    <w:p>
      <w:r>
        <w:t>Le Tribunal fédéral a également fait grief à la juridiction cantonale de ne pas avoir déterminé les charges admissibles du recourant et déduit celles-ci du revenu imputé jusqu'en mars 2008 et de celui effectif ensuite, ce qui aurait permis de vérifier s'il existait ou non un disponible durant ces périodes. Il a admis le recours sur ce point et a invité la Cour de céans à déterminer les charges admissibles. Le recourant a conclu à l'acquittement dans la mesure ou l'arrêt rendu le 7 juin 2004 par le Tribunal civil de l'arrondissement de Lausanne (cf. pièce 28) retenait des charges mensuelles fixes de 5'706 fr., ne permettant pas le versement de son obligation d'entretien.</w:t>
      </w:r>
    </w:p>
    <w:p>
      <w:r>
        <w:rPr>
          <w:b/>
        </w:rPr>
        <w:t>E. 2.2.1</w:t>
      </w:r>
    </w:p>
    <w:p>
      <w:r>
        <w:t>En l'occurrence, le montant de base du minimum vital pour une personne seule avec les charges du droit de visite s'élève à 1'250 francs.</w:t>
      </w:r>
    </w:p>
    <w:p>
      <w:r>
        <w:rPr>
          <w:b/>
        </w:rPr>
        <w:t>E. 2.2.2</w:t>
      </w:r>
    </w:p>
    <w:p>
      <w:r>
        <w:t>Si l'on considère que le recourant vit seul, qu'il exerce son droit de visite au lieu de vie des enfants à l'exception des vacances, que, lorsqu'il se rend en Suisse pour voir ces derniers, il loge avec eux dans un chalet des Alpes vaudoises mis à disposition par des amis et, qu'en Angleterre, il les accueille auprès de sa famille (cf. arrêt rendu par le Tribunal civil de l'arrondissement de Lausanne le 3 octobre 2006, pièce 37, p. 371), le montant du loyer retenu dans la décision civile du 7 juin 2004 est manifestement excessif. Il convient dès lors de tenir compte d'un loyer pour un studio à Londres, que l'on estime pour les années 2003 à 2008 à 1'500 fr. par mois.</w:t>
      </w:r>
    </w:p>
    <w:p>
      <w:r>
        <w:rPr>
          <w:b/>
        </w:rPr>
        <w:t>E. 2.2.3</w:t>
      </w:r>
    </w:p>
    <w:p>
      <w:r>
        <w:t>En outre, si l'on se fie au jugement attaqué qui reprend les déclarations du recourant, il s'avère que les frais de transports pour rencontrer ses enfants en Suisse sont entièrement payés par la mère et la famille du recourant (jgt., p. 8). Force est donc de constater que le montant calculé à ce titre dans la décision civile est aussi excessif, ceci d'autant plus que les tarifs "lowcost" entre Londres et Genève sont aisément accessibles surtout lorsque le droit de visite est, comme en l'espèce, planifié à l'avance. Un montant de 500 fr. est suffisant pour deux trajets mensuels, étant précisé que les coûts sur place sont déjà pris en considération dans le calcul du minimum de base.</w:t>
      </w:r>
    </w:p>
    <w:p>
      <w:r>
        <w:rPr>
          <w:b/>
        </w:rPr>
        <w:t>E. 2.2.4</w:t>
      </w:r>
    </w:p>
    <w:p>
      <w:r>
        <w:t>Au vu de ces éléments, le montant du minimum vital peut être fixé à 3'250 fr., ce dans l'hypothèse la plus favorable au recourant, soit en prenant en compte les frais de déplacement. Soustrayant ce dernier montant au revenu que percevait le recourant avant de reprendre des études, on obtient un disponible de 930 fr. (4'180 fr. – 3'250 fr. = 930 fr.), suffisant pour payer la contribution d'entretien des siens durant la période allant de décembre 2003 à mars 2008. A supposer que la Livre sterling ait fluctué au-dessous du taux de conversion de 2.5 (cf. supra, c. 2.1.), la contribution d'entretien aurait également pu être versée, ne serait-ce qu'en partie. Il en va de même pour les contributions d'entretien durant la période allant de mars à décembre 2008, qui compte tenu d'un salaire de 2'056 £, représentant alors 3'600 fr. (jgt., p. 10) auraient pu être payées du moins partiellement. En revanche, le cours de la Livre sterling ayant chuté après cette période, il faut admettre que, dès janvier 2009 et jusqu'en mars 2009, le salaire du recourant était inférieur au minimum vital de 3'250 fr., de sorte qu'aucune pension n'était alors exigible. Il faut noter néanmoins que ces quelque trois mois soustraits à la durée de l'activité délictueuse, qui s'étend sur cinq ans, soit de décembre 2003 à décembre 2008, ne changent rien à l'appréciation de la culpabilité. En effet, il résulte des pièces au dossier (cf. arrêt rendu par le Tribunal civil le 2 avril 2002, pièce 12/3) que le recourant disposait d'un montant de 30'000 £, sur un compte auprès de la [...] Bank à Londres, qu'il n'a toutefois jamais transféré cette somme sur un compte commun bloqué des époux, comme cela lui avait été pourtant ordonné (jgt., p. 11). La prise en compte de la fortune intervient en effet à titre subsidiaire lorsque les revenus ne permettent pas de couvrir le minimum vital du créancier. Le conjoint débiteur peut être contraint d'engager son capital (Bastons Bulletti, L'entretien après divorce : méthodes de calcul, montant, durée et limites, SJ 2007 II 83 et références ; Hausheer/Spycher, op. cit., n° 05.66, p. 266 ; TF 5P.173/2002 du 29 mai 2002 c. 5a ; ATF 134 III 581 c. 3.3, JT 2009 I 267). En l'occurrence, V.________, créancière, avait, durant la période incriminée, deux enfants en bas âge à charge et n'a jamais perçu le moindre centime du recourant. Il y a lieu d'admettre que ce dernier aurait de toute manière dû consacrer une partie de sa fortune au paiement des contributions d'entretien, ne serait-ce que très partiellement. Partant, la condamnation pour infraction à l'art. 217 CP doit être confirmée.</w:t>
      </w:r>
    </w:p>
    <w:p>
      <w:r>
        <w:rPr>
          <w:b/>
        </w:rPr>
        <w:t>E. 2.3</w:t>
      </w:r>
    </w:p>
    <w:p>
      <w:r>
        <w:t>Le Tribunal fédéral a finalement admis que la Cour de céans avait arbitrairement considéré que les indemnités de chômage constituaient un disponible dès lors que pour la période incriminée, il a été imputé au recourant le revenu qu'il aurait pu se procurer en considération du salaire qui était le sien avant qu'il ne reprenne des études. Il va de soi en effet qu'on ne saurait faire le grief au recourant de ne pas avoir perçu les indemnités de chômage, dans la mesure où il est admis en définitive que c'est un revenu hypothétique qui doit lui être opposé.</w:t>
      </w:r>
    </w:p>
    <w:p>
      <w:r>
        <w:rPr>
          <w:b/>
        </w:rPr>
        <w:t>E. 3</w:t>
      </w:r>
    </w:p>
    <w:p>
      <w:r>
        <w:t>Finalement, en ce qui concerne la fixation de la peine, il y a lieu de se référer à l'arrêt rendu par la Cour de céans qui n'est pas remis en question sur ce point. Au vu de ces éléments, le recours doit être rejeté, le jugement attaqué étant confirmé. Les frais de deuxième instance, y compris l'indemnité allouée à son défenseur d'office, seront mis à la charge de l’intéressé (art. 450 al. 1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