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 vom 11. Dezember 2009</w:t>
      </w:r>
    </w:p>
    <w:p>
      <w:r>
        <w:t>VD Tribunal cantonal, 2009-12-11, FR</w:t>
      </w:r>
    </w:p>
    <w:p>
      <w:r>
        <w:rPr>
          <w:b/>
        </w:rPr>
        <w:t xml:space="preserve">Quelle: </w:t>
      </w:r>
      <w:r>
        <w:t>https://mcp.opencaselaw.ch/entscheid/vd_findinfo_AP___2011___13</w:t>
      </w:r>
    </w:p>
    <w:p>
      <w:r>
        <w:t>FR: VD_FINDINFO AP / 2011 / 13 du 11 décembre 2009</w:t>
      </w:r>
    </w:p>
    <w:p>
      <w:r>
        <w:t>IT: VD_FINDINFO AP / 2011 / 13 del 11 dicembre 2009</w:t>
      </w:r>
    </w:p>
    <w:p>
      <w:pPr>
        <w:pStyle w:val="Heading2"/>
      </w:pPr>
      <w:r>
        <w:t>Regeste</w:t>
      </w:r>
    </w:p>
    <w:p>
      <w:r>
        <w:t>SERVITUDE D'EMPIÉTEMENT, SERVITUDE FONCIÈRE, ENTRETIEN DES ROUTES | 730 CC, 741 CC</w:t>
      </w:r>
    </w:p>
    <w:p>
      <w:pPr>
        <w:pStyle w:val="Heading2"/>
      </w:pPr>
      <w:r>
        <w:t>Erwägungen</w:t>
      </w:r>
    </w:p>
    <w:p>
      <w:r>
        <w:rPr>
          <w:b/>
        </w:rPr>
        <w:t>E. 1</w:t>
      </w:r>
    </w:p>
    <w:p>
      <w:r>
        <w:t>Depuis l'entrée en vigueur le 1er janvier 2011 du Code de procédure civile du 19 décembre 2008 (CPC; RS 272), les recours sont régis par le droit en vigueur au moment de la communication de la décision aux parties (art. 405 al. 1 CPC). Le dispositif du jugement attaqué a été expédié le 24 décembre 2009 pour notification. Sont donc applicables les dispositions contenues dans le Code de procédure civile du canton de Vaud du 14 décembre 1966 (ci-après : CPC-VD; RSV 270.11) devant la Chambre des recours du canton de Vaud (art. 81a al. 2 ROTC [règlement organique du Tribunal cantonal du 13 novembre 2007; RSV 173.31.1] et 166 al. 2 CDPJ [Code du 12 janvier 2010 de droit privé judiciaire vaudois; RSV 211.01]).</w:t>
      </w:r>
    </w:p>
    <w:p>
      <w:r>
        <w:rPr>
          <w:b/>
        </w:rPr>
        <w:t>E. 2</w:t>
      </w:r>
    </w:p>
    <w:p>
      <w:r>
        <w:t>Les art. 444, 447 et 451 ch. 4 CPC ouvrent la voie du recours en nullité et en réforme contre un jugement principal rendu par un juge de paix. Interjeté en temps utile (art. 458 CPC), par une partie qui y a intérêt, le recours est recevable. Il tend uniquement à la réforme.</w:t>
      </w:r>
    </w:p>
    <w:p>
      <w:r>
        <w:rPr>
          <w:b/>
        </w:rPr>
        <w:t>E. 3</w:t>
      </w:r>
    </w:p>
    <w:p>
      <w:r>
        <w:t>En matière de recours en réforme contre un jugement principal rendu par un juge de paix (art. 451 ch. 4 CPC-VD), l'art. 457 CPC-VD prévoit que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En l'espèce, pour permettre à la cour de céans de statuer sur le recours, l'état de fait du jugement attaqué doit être complété, respectivement rectifié, sur les points de fait suivants : - Par lettre du 22 septembre 2006, le bureau d’ingénieurs civils [...] a déclaré aux propriétaires bordiers du Chemin [...] que la canalisation d’eaux usées était détériorée et devait être remplacée, que la canalisation d’eaux claires était de manière générale en bon état mais que des réparations ponctuelles étaient préconisées et que l’entreprise Swisscom était disposée à prendre à sa charge certains frais relatifs à la pose de tubes pour certaines des parcelles. Contrairement à ce qu’on lit en page 3 du jugement, il n’a pas été question dans cette lettre de « travaux de remise en état et de conformité de l’infrastructure de la chaussée ». - En page 5 du procès-verbal d’une séance du 18 octobre 2006 établi par l’entreprise [...], on lit que les travaux suivants seront pris en charge par les propriétaires : « Réalisation de la chambre EC sur le collecteur existant » et « mise en conformité des grilles de route ». Un tableau de « répartition des frais entre propriétaires » établi par la même entreprise au sujet des « travaux selon pv du 18.10.06 (point 5) » indique que la participation des recourants en fonction de la valeur d’assurance incendie de leur parcelle s’élève à 4'341 fr. 92, montant en regard duquel figure l’indication manuscrite du montant de 1'895 fr. 40. - Si, par lettre du 5 juillet 2007 (mentionnée à la page 5 du jugement), A.D.________ a déclaré qu’il était d’accord de participer à des frais de séparation des eaux de surface et des eaux usées, y compris l’installation d’une grille au bas de la chaussée, il a également déclaré dans cette correspondance qu’il refusait de participer aux frais du collecteur des eaux usées. - Par lettre du 15 août 2007, répondant à la municipalité de Renens qui leur avait demandé par lettre du 9 août précédent de faire effectuer des travaux d’enrobé, les propriétaires riverains ont notamment déclaré que le chemin [...] présentait « diverses ouvertures sur son revêtement, résultant des interventions des services SIE et Eauservice, non recouvertes de bitume, dans l’attente de travaux nouveaux ». - Sur deux photographies produites par les demandeurs (pièce 45) du « Chemin [...] à Renens avant réparation », on voit un enrobé bitumé non uniforme recouvrant la chaussée et deux grilles.</w:t>
      </w:r>
    </w:p>
    <w:p>
      <w:r>
        <w:rPr>
          <w:b/>
        </w:rPr>
        <w:t>E. 4</w:t>
      </w:r>
    </w:p>
    <w:p>
      <w:r>
        <w:t>a) Selon l'art. 730 al. 2 CC, une obligation de faire peut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Les droits réels, tome II, 3ème éd., 2002, n. 2219 et les références citées; Liver, Zürcher Kommentar, 2ème éd., 1980,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elle-même (ATF 106 II 315 c. 2e;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n. 2283; Liver, op. cit., n. 28 ad art. 741 CC). Les règles de l'art.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l'art. 741 al. 1 CC (Henri Deschenaux, Le registre foncier, in: Traité de droit privé suisse, vol. V, t. II, 2, 1983, p. 558, note 3; Liver, op. cit., n. 67 ss ad art. 741 CC; Hans Leemann, Zürcher Kommentar, 1925, n. 2 ad art. 741 CC), soit encore en établissant que la charge de l'entretien incombera exclusivement au propriétaire du fonds servant (Steinauer, op. cit., n. 2285; Liver, op. cit., n. 67 ad art. 741 CC; Leemann, op. cit., n. 2 ad art. 741 CC). Tant l'obligation accessoire que les devoirs liés à la charge d'entretien constituent des obligations rattachées propter rem au droit de servitude lorsqu'ils sont signalés dans l'inscription au registre foncier (ATF 124 III 289 c. 1c, JT 1999 I 170; Steinauer, op. cit., n. 2220b; 2283a et 2285a; Rey, Berner Kommentar, n. 155 ss ad art. 730 CC; Liver, op. cit., n. 230 ad art. 730 et 73 ss ad art. 741 CC; Deschenaux, op. cit., p. 558, note 3; Etienne Petitpierre, in Basler Kommentar, 3ème éd., 2007,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b) Aux termes de l'art. 971 CC, tout droit dont la constitution est légalement subordonnée à une inscription au registre foncier, n'existe comme droit réel que si cette inscription a eu lieu (al. 1). L'étendue d'un droit peut être précisée, dans les limites de l'inscription, par les pièces justificatives ou de toute autre manière (al. 2). Lex specialis en matière de servitudes, l'art.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130 III 554 c. 3.1; 121 III 52 c. 2a; TF 5C.126/2004 du 21 octobre 2004 c. 2.3 in RNRF 2005 307; Steinauer, op. cit., n. 2294).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sur tous ces points : TF 5A_229/2010 du 7 juillet 2010 c. 4.1 et 4.2). Pour définir le contenu d'une servitude, il est certes possible de se reporter à la pièce justificative ou à la manière dont elle est exercée; mais le contenu du droit ne peut être démontré que "dans les limites de l'inscription" (art. 738 al. 2 et 971 al. 2 CC); il n'est donc pas possible de se reporter à une pièce justificative pour suppléer le contenu d'une servitude que l'inscription au registre foncier ne précise en aucune façon, en particulier de se référer à l'acte juridique de base (ATF 124 III 293, JT 1999 I 174 c. 2b).</w:t>
      </w:r>
    </w:p>
    <w:p>
      <w:r>
        <w:rPr>
          <w:b/>
        </w:rPr>
        <w:t>E. 5</w:t>
      </w:r>
    </w:p>
    <w:p>
      <w:r>
        <w:t>juillet 2007). Il faut ainsi admettre qu’ils se sont acquittés de leur obligation relative à ce volet particulier des travaux projetés. Les intimés, qui soutiennent que l’entier des travaux incombe aux recourants en proportion de la valeur d’assurance incendie de leur immeuble, n’établissent en tous les cas pas que les recourants devraient encore un solde relatif aux seuls travaux de mise en conformité de l’écoulement des eaux claires de surface.</w:t>
      </w:r>
    </w:p>
    <w:p>
      <w:r>
        <w:rPr>
          <w:b/>
        </w:rPr>
        <w:t>E. 6</w:t>
      </w:r>
    </w:p>
    <w:p>
      <w:r>
        <w:t>Cela étant, les recourants se voient réclamer des frais de réfection de canalisations dont ils n’ont pas l’usage. Or, les frais d’entretien des ouvrages nécessaires à l’exercice d’une servitude incombent aux propriétaires du fonds dominant (art. 740 al. 1 CC), cela en proportion de leur intérêt à leur utilisation (Etienne Petitpierre, op. cit., n. 14 ad art. 741 CC). Si ces ouvrages sont également utiles au propriétaire grevé, celui-ci est aussi tenu en proportion de son intérêt (art. 741 al. 2 CC). A défaut d’un tel intérêt, que ce soit en qualité de propriétaires du fonds servant ou dominant de la servitude, les recourants ne peuvent pas être tenus à une participation aux frais d’entretien de canalisations. Il est vrai que la règle de l’entretien en proportion de l’intérêt à l’usage ne vaut qu’à défaut de convention (Petitpierre, op. cit., ibidem) et qu’en l’espèce, il a été prévu lors de la constitution de la servitude une répartition des frais en proportion de la valeur d’assurance-incendie des bâtiments des fonds concernés. Mais, si cet arrangement figure dans un document intitulé « Réquisition pour le registre foncier », rédigé en 1953 (pièce 57 produite par les défendeurs), il n’est pas établi que l’inscription au registre foncier en fasse elle-même état. Il ressort au contraire de l’avis de droit produit par les intimés que l’extrait du registre foncier indique l’existence d’une servitude mais non pas d’un accord relatif aux frais d’entretien (pièce 26 des demandeurs, p. 5). Or, cet accord n’est pas opposable aux tiers, ici aux recourants qui ont acquis leur immeuble quelque 50 années plus tard, si elle n’est pas signalée au registre foncier, ne serait-ce que par un renvoi particulier à une pièce justificative (ATF 124 III 289, JT 1999 I 170 précité). Peu importe au surplus que, comme on le lit en page 4 du jugement, les recourants aient participé à deux reprises à une « séance décisionnelle », au cours de laquelle il a été question de travaux de réfection de canalisations et de la prise en charge de leur coût. S’ils ont alors signé un document, il ne s’agissait que d’une liste de présence et non pas d’un procès-verbal relatant des décisions prises. Aucune obligation n’a alors été contractée. C’est ultérieurement qu’un « tableau de répartition des frais » et un « protocole d’engagement », correspondant à un contrat avec une entreprise de génie civil, a été soumis à la signature des riverains du chemin [...] mais les recourants ont alors refusé de donner leur accord (jgt, p. 5). Au vu de ce qui précède, aucune charge d’entretien au sens de l’art. 741 CC n’incombe aux recourants. Les intimés ne pouvaient dès lors pas leur réclamer une participation à des frais de réfection. Aucun contrat d’entreprise n’a au surplus été conclu par les recourants, de sorte que l’entrepreneur choisi par les intimés ne disposait d’aucune créance à leur céder à l’encontre des recourants. Enfin, si les intimés ont engagé les frais d’un avis de droit, rien ne justifie de les mettre à la charge des recourants.</w:t>
      </w:r>
    </w:p>
    <w:p>
      <w:r>
        <w:rPr>
          <w:b/>
        </w:rPr>
        <w:t>E. 7</w:t>
      </w:r>
    </w:p>
    <w:p>
      <w:r>
        <w:t>En définitive, le recours doit être admis et le dispositif du jugement réformé en ce sens que l'action des demandeurs est rejetée (I) et que les demandeurs, débiteurs solidaires, doivent verser aux défendeurs, créanciers solidaires, la somme de 2'750 fr. à titre de dépens (V), le chiffre II étant supprimé. Le jugement est confirmé pour le surplus. Les frais de deuxième instance des recourants sont arrêtés à 350 fr. (art. 230 TFJC; tarif des frais judiciaires en matière civile du 4 décembre 1984; RSV 270.11.5). Les intimés, débiteurs solidaires, doivent verser aux recourants, créanciers solidaires, la somme de 750 fr. à titre de dépens de deuxième instance. Par ces motifs, la Chambre des recours du Tribunal cantonal, statuant en audience publique, prononce : I. Le recours est admis. II. Le jugement est réformé comme il suit aux chiffres I, II et V de son dispositif : I.- L'action des demandeurs est rejetée. II.- Supprimé. V.- Les demandeurs Y.________, W.________, A.H.________, B.H.________, B.________, A.X.________, B.X.________, T.________, A.C.________, B.C.________, J.________, A.Q.________, B.Q.________, O.________, P.________ et Société coopérative d'habitation S.________, débiteurs solidaires, doivent verser aux défendeurs A.D.________ et B.D.________, créanciers solidaires, la somme de 2'750 fr. (deux mille sept cent cinquante francs) à titre de dépens. Le jugement est confirmé pour le surplus. III. Les frais de deuxième instance des recourants sont arrêtés à 350 fr. (trois cent cinquante francs). IV. Les intimés Y.________, W.________, A.H.________, B.H.________, B.________, A.X.________, B.X.________, T.________, A.C.________, B.C.________, J.________, A.Q.________, B.Q.________, O.________, P.________ et Société coopérative d'habitation S.________, débiteurs solidaires, doivent verser aux recourants A.D.________ et B.D.________, créanciers solidaires, la somme de 750 fr. (sept cent cinquante francs) à titre de dépens de deuxième instance. V. L'arrêt motivé est exécutoire. Le président :               Le greffier : Du</w:t>
      </w:r>
    </w:p>
    <w:p>
      <w:r>
        <w:rPr>
          <w:b/>
        </w:rPr>
        <w:t>E. 8</w:t>
      </w:r>
    </w:p>
    <w:p>
      <w:r>
        <w:t>septembre 2010 Le dispositif de l'arrêt qui précède est communiqué par écrit aux intéressés. Le greffier : Du L'arrêt qui précède, dont la rédaction a été approuvée à huis clos, est notifié en expédition complète, par l'envoi de photocopies à : ‑ M. Jean-Daniel Nicaty, aab (pour A.D.________ et B.D.________), ‑ M. Pascal Stouder, aab (pour Y.________, W.________, A.H.________, B.H.________, B.________, A.X.________, B.X.________, T.________, A.C.________, B.C.________, J.________, A.Q.________, B.Q.________, O.________, P.________ et Société coopérative d'habitation S.________). La Chambre des recours considère que la valeur litigieuse est de 7'999 francs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