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123 vom 6. Oktober 2011</w:t>
      </w:r>
    </w:p>
    <w:p>
      <w:r>
        <w:t>VD Tribunal cantonal, 2011-10-06, FR</w:t>
      </w:r>
    </w:p>
    <w:p>
      <w:r>
        <w:rPr>
          <w:b/>
        </w:rPr>
        <w:t xml:space="preserve">Quelle: </w:t>
      </w:r>
      <w:r>
        <w:t>https://mcp.opencaselaw.ch/entscheid/vd_findinfo_AP___2011___123</w:t>
      </w:r>
    </w:p>
    <w:p>
      <w:r>
        <w:t>FR: VD_FINDINFO AP / 2011 / 123 du 6 octobre 2011</w:t>
      </w:r>
    </w:p>
    <w:p>
      <w:r>
        <w:t>IT: VD_FINDINFO AP / 2011 / 123 del 6 ottobre 2011</w:t>
      </w:r>
    </w:p>
    <w:p>
      <w:pPr>
        <w:pStyle w:val="Heading2"/>
      </w:pPr>
      <w:r>
        <w:t>Regeste</w:t>
      </w:r>
    </w:p>
    <w:p>
      <w:r>
        <w:t>RELIEF, EXCUSABILITÉ, INTERDICTION DE L'ARBITRAIRE | 6 CEDH, 407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ème éd., Zurich 2006, n. 1488, p. 891). A cet égard, la jurisprudence rendue sous l'empire de l'ancienne procédure pénale fédérale reste tout à fait pertinente (cf. art. 277ter al.</w:t>
      </w:r>
    </w:p>
    <w:p>
      <w:r>
        <w:rPr>
          <w:b/>
        </w:rPr>
        <w:t>E. 2</w:t>
      </w:r>
    </w:p>
    <w:p>
      <w:r>
        <w:t>Dans son arrêt du 19 juillet 2011, le Tribunal fédéral a considéré qu'au vu du contenu des certificats médicaux, l'appréciation de la Cour de céans était insoutenable et, partant, arbitraire. Il a indiqué qu'il ressortait clairement de ces pièces que le recourant n'était pas capable de voyager et qu'un grand risque de détérioration de son état de santé existait. Il a admis, sur la base des certificats médicaux, que le recourant disposait donc d'une excuse valable pour justifier son absence à l'audience de reprise de cause. Le Tribunal fédéral a retenu que la solution de la Cour de cassation pénale violait dès lors l'art. 6 CEDH et qu'il était arbitraire de considérer que la demande de relief était infondée. Il a donc admis le recours de J.________, annulé l'arrêt attaqué et renvoyé la cause à l'autorité cantonale pour reprise de la procédure.</w:t>
      </w:r>
    </w:p>
    <w:p>
      <w:r>
        <w:rPr>
          <w:b/>
        </w:rPr>
        <w:t>E. 3</w:t>
      </w:r>
    </w:p>
    <w:p>
      <w:r>
        <w:t>La demande de relief n'étant, vu ce qui précède, de prime abord ni infondée, ni irrégulière, il appartient au Président du Tribunal de l'arrondissement de La Côte de fixer une nouvelle audience lors de laquelle le Tribunal statuera sur cette demande. Il convient dès lors d'admettre le recours et d'annuler le prononcé.</w:t>
      </w:r>
    </w:p>
    <w:p>
      <w:r>
        <w:rPr>
          <w:b/>
        </w:rPr>
        <w:t>E. 4</w:t>
      </w:r>
    </w:p>
    <w:p>
      <w:r>
        <w:t>En définitive, le recours de J.________ doit être admis et le prononcé entrepris annulé. Il appartiendra au Président du Tribunal de l'arrondissement de La Côte de fixer une nouvelle audience en laquelle le tribunal statuera sur la demande de relief. Les frais de deuxième instance sont laissés à la charge de l'Etat (art. 450 al. 2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