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AP / 2010 / 97 vom 8. Oktober 2009</w:t>
      </w:r>
    </w:p>
    <w:p>
      <w:r>
        <w:t>VD Tribunal cantonal, 2009-10-08, FR</w:t>
      </w:r>
    </w:p>
    <w:p>
      <w:r>
        <w:rPr>
          <w:b/>
        </w:rPr>
        <w:t xml:space="preserve">Quelle: </w:t>
      </w:r>
      <w:r>
        <w:t>https://mcp.opencaselaw.ch/entscheid/vd_findinfo_AP___2010___97</w:t>
      </w:r>
    </w:p>
    <w:p>
      <w:r>
        <w:t>FR: VD_FINDINFO AP / 2010 / 97 du 8 octobre 2009</w:t>
      </w:r>
    </w:p>
    <w:p>
      <w:r>
        <w:t>IT: VD_FINDINFO AP / 2010 / 97 del 8 ottobre 2009</w:t>
      </w:r>
    </w:p>
    <w:p>
      <w:pPr>
        <w:pStyle w:val="Heading2"/>
      </w:pPr>
      <w:r>
        <w:t>Regeste</w:t>
      </w:r>
    </w:p>
    <w:p>
      <w:r>
        <w:t>CONSTATATION DES FAITS | 411 let. h CPP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En conclusion, dès lors que le recours en nullité est admis en application de l'art. 411 let. h CPP, le jugement doit être annulé et la cause renvoyée au Tribunal de police de l'arrondissement de La Côte en application de l’art. 444 CPP; le recours en réforme d’E.________ n’a donc plus d’objet. Les frais de deuxième instance, y compris l’indemnité allouée au conseil d’office de la plaignante par 581 fr. 05, TVA comprise, doivent être laissés à la charge de l'Etat (art. 450 al. 2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