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85 vom 10. Dezember 2009</w:t>
      </w:r>
    </w:p>
    <w:p>
      <w:r>
        <w:t>VD Tribunal cantonal, 2009-12-10, FR</w:t>
      </w:r>
    </w:p>
    <w:p>
      <w:r>
        <w:rPr>
          <w:b/>
        </w:rPr>
        <w:t xml:space="preserve">Quelle: </w:t>
      </w:r>
      <w:r>
        <w:t>https://mcp.opencaselaw.ch/entscheid/vd_findinfo_AP___2010___85</w:t>
      </w:r>
    </w:p>
    <w:p>
      <w:r>
        <w:t>FR: VD_FINDINFO AP / 2010 / 85 du 10 décembre 2009</w:t>
      </w:r>
    </w:p>
    <w:p>
      <w:r>
        <w:t>IT: VD_FINDINFO AP / 2010 / 85 del 10 dicembre 2009</w:t>
      </w:r>
    </w:p>
    <w:p>
      <w:pPr>
        <w:pStyle w:val="Heading2"/>
      </w:pPr>
      <w:r>
        <w:t>Regeste</w:t>
      </w:r>
    </w:p>
    <w:p>
      <w:r>
        <w:t>PEINE PRIVATIVE DE LIBERTÉ, SURSIS À L'EXÉCUTION DE LA PEINE, PEINE PÉCUNIAIRE | 41 CP, 42 CP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La recourante conteste d'abord le type de la peine en concluant à ce qu'une peine pécuniaire soit prononcée en lieu et place d'une peine privative de liberté. Elle conteste ensuite le pronostic défavorable posé par le premier juge en demandant que la peine soit assortie du sursis. Ces conclusions sont liées et il sied d'examiner successivement les conditions légales posées à l'octroi du sursis et celles permettant de prononcer une peine privative de liberté plutôt qu'une peine pécuniaire. La quotité de la peine n'est, quant à elle, pas contestée.</w:t>
      </w:r>
    </w:p>
    <w:p>
      <w:r>
        <w:rPr>
          <w:b/>
        </w:rPr>
        <w:t>E. 2.1</w:t>
      </w:r>
    </w:p>
    <w:p>
      <w:r>
        <w:t>A teneur de l'art. 41 al. 1 CP (Code pénal suisse du 21 décembre 1937, RS 311.0), le juge ne peut prononcer une peine privative de liberté ferme de moins de six mois que si les conditions du sursis à l'exécution de la peine (art. 42 CP) ne sont pas réunies et s'il y a lieu d'admettre que ni une peine pécuniaire ni un travail d'intérêt général ne peuvent être exécutés.</w:t>
      </w:r>
    </w:p>
    <w:p>
      <w:r>
        <w:rPr>
          <w:b/>
        </w:rPr>
        <w:t>E. 2.1.1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1, c. 4.2.1; ATF 128 IV 193, c. 3a).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1, précité, c. 4.2.2).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2.1.2</w:t>
      </w:r>
    </w:p>
    <w:p>
      <w:r>
        <w:t>En l'espèce, en tenant compte de la récidive spéciale, de la réitération en cours d'enquête, de son absence de changement de comportement, de son refus de se soigner adéquatement ainsi que du risque élevé de récidive mis en évidence par l'expertise psychiatrique, le tribunal a conclu qu'il convenait de ne pas mettre l'accusée au bénéfice d'un sursis à l'exécution de la peine. L'examen de l'ensemble des éléments du cas d'espèce conduit indéniablement à un pronostic défavorable et la Cour de cassation fait sienne l’appréciation du premier juge, qui n’a nullement fait preuve d’arbitraire en refusant d’octroyer le sursis à la recourante au vu du pronostic clairement défavorable. Il convient également de mentionner qu'un traitement ambulatoire au sens de l'art. 63 CP a été ordonné, ce que D.________ ne remet pas en cause. Or, si les conditions d'application de l'une ou l'autre des mesures prévues aux art. 56 ss CP sont remplies, le pronostic déterminant pour l'octroi du sursis est nécessairement négatif, puisque le prononcé de ces mesures suppose un risque de récidive (TF 6B_769/2008 du 18 juin 2009, c. 2.3 et les références citées). En l'espèce, les conditions d'un traitement ambulatoire étant remplies, celles du sursis au sens de l'art. 42 CP, ne le sont pas. Mal fondé, le moyen doit être rejeté.</w:t>
      </w:r>
    </w:p>
    <w:p>
      <w:r>
        <w:rPr>
          <w:b/>
        </w:rPr>
        <w:t>E. 2.2</w:t>
      </w:r>
    </w:p>
    <w:p>
      <w:r>
        <w:t>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82, c. 4.1 et les références citées).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(ATF 134 IV 82, précité, c. 4.3 et les références citées). Une peine privative de liberté ferme de moins de six mois n'entre qu'exceptionnellement en ligne de compte. En édictant l'art. 41 CP, le législateur a institué un ordre légal de priorité en faveur des sanctions non privatives de liberté (ATF 6B_541/2007 du 13 mai 2008, c. 4.2.2).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82, précité, c. 6.5.1).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(art. 34 al. 2 CP). Lorsqu'il est exceptionnellement justifié de l'admettre dans le cas d'espèce, le tribunal est appelé à décider si un travail d'intérêt général peut être ordonné à la place d'une courte peine privative de liberté (TF 6B_541/2007 du 13 mai 2008, c. 4.2.2). Même mauvaise ou assistée, la situation économique de l'auteur ne permet pas de justifier le prononcé d'une peine privative de liberté au lieu d'une peine pécuniaire. Admettre le contraire irait à l'encontre de la volonté du législateur. La situation économique précaire de l'intéressé ne peut entrer en ligne de compte que dans le calcul du montant du jour-amende. En outre, des facilités de paiement peuvent être accordées (TF 6B_845/2009 du 11 janvier 2010, c. 1.3).</w:t>
      </w:r>
    </w:p>
    <w:p>
      <w:r>
        <w:rPr>
          <w:b/>
        </w:rPr>
        <w:t>E. 2.2.1</w:t>
      </w:r>
    </w:p>
    <w:p>
      <w:r>
        <w:t>Le tribunal a notamment considéré qu'une peine pécuniaire ne pouvait être exécutée au motif que D.________ était fortement obérée. Cette motivation est insuffisante au regard de la jurisprudence prévoyant qu'une peine pécuniaire peut être appliquée même aux personnes ayant une faible capacité de revenu (cf. supra, c. 2.2). S'il ressort du jugement que la prénommée est endettée, il n'en demeure pas moins qu'elle dispose de revenus mensuels s'élevant à 5'210 francs. En prenant en considération la saisie de revenus de 2'200 fr. par mois sur sa rente LPP ainsi que ses charges, il convient de fixer le montant du jour‑amende à 40 fr., tel que le préconise d'ailleurs la recourante. Il n'est également pas établi qu'elle fasse preuve de mauvaise volonté à l'égard du paiement de la peine pécuniaire encourue, ni qu'elle soit durablement dans l'incapacité de s'en acquitter. Aussi, bien fondé, le moyen doit être admis et une peine de 30 jours-amende à 40 fr. sera infligée à D.________.</w:t>
      </w:r>
    </w:p>
    <w:p>
      <w:r>
        <w:rPr>
          <w:b/>
        </w:rPr>
        <w:t>E. 3</w:t>
      </w:r>
    </w:p>
    <w:p>
      <w:r>
        <w:t>En définitive, le recours doit être partiellement admis et le jugement réformé dans le sens des considérants. Vu l'issue du recours, les frais de deuxième instance, y compris l'indemnité allouée à son défenseur d'office par 581 fr. 05 et celle allouée au conseil d'office de la plaignante B.________ par 193 fr. 70, sont mis par moitié à la charge de la recourante, le solde restant à la charge de l'Etat (art. 450 al. 2 CPP). Le remboursement à l'Etat de l'indemnité allouée à son défenseur d'office sera exigible pour autant que la situation économique de D.________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