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84 vom 9. September 2008</w:t>
      </w:r>
    </w:p>
    <w:p>
      <w:r>
        <w:t>VD Tribunal cantonal, 2008-09-09, FR</w:t>
      </w:r>
    </w:p>
    <w:p>
      <w:r>
        <w:rPr>
          <w:b/>
        </w:rPr>
        <w:t xml:space="preserve">Quelle: </w:t>
      </w:r>
      <w:r>
        <w:t>https://mcp.opencaselaw.ch/entscheid/vd_findinfo_AP___2010___84</w:t>
      </w:r>
    </w:p>
    <w:p>
      <w:r>
        <w:t>FR: VD_FINDINFO AP / 2010 / 84 du 9 septembre 2008</w:t>
      </w:r>
    </w:p>
    <w:p>
      <w:r>
        <w:t>IT: VD_FINDINFO AP / 2010 / 84 del 9 settembre 2008</w:t>
      </w:r>
    </w:p>
    <w:p>
      <w:pPr>
        <w:pStyle w:val="Heading2"/>
      </w:pPr>
      <w:r>
        <w:t>Regeste</w:t>
      </w:r>
    </w:p>
    <w:p>
      <w:r>
        <w:t>CONSTATATION DES FAITS, NULLITÉ, ESCROQUERIE, TROMPERIE, ASTUCE, PAR MÉTIER, TRIBUNAL FÉDÉRAL | 146 CP, 448 al. 1 CPP,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(cf. art. 107 al. 2 LTF [loi du 17 juin 2005 sur le Tribunal fédéral; RS 173.110). L'autorité à laquelle l'affaire est renvoyée doit fonder sa nouvelle décision sur les considérants de droit de l'arrêt de cassation et doit s'en tenir aux instructions du Tribunal fédéral (cf. Piquerez, Traité de procédure pénale suisse, 2 ème éd. 2006, n° 1488 i. f., p. 891). A cet égard, la jurisprudence rendue sous l'empire de l'ancienne procédure fédérale reste tout à fait pertinente: le recours ayant circonscrit le débat, il n'appartient pas à l'autorité cantonale de revenir sur des questions qui sortent du cadre des considérants du Tribunal fédéral et elle n'a ainsi plus qu'à examiner, conformément à l'arrêt, les points qui ont donné lieu à cassation (cf. FF 2001 4000, spéc. 4143; Corboz, Le pourvoi en nullité à la Cour de cassation, in SJ 1991 pp. 57 ss, spéc. pp 99-100; ATF 117 IV 97, JT 1993 IV 130).</w:t>
      </w:r>
    </w:p>
    <w:p>
      <w:r>
        <w:rPr>
          <w:b/>
        </w:rPr>
        <w:t>E. 2</w:t>
      </w:r>
    </w:p>
    <w:p>
      <w:r>
        <w:t>Dans son arrêt de renvoi du 12 janvier 2010, le Tribunal fédéral a annulé l'arrêt de la cour de céans au motif que les lacunes de celui-ci ne permettaient pas, pratiquement pour aucun des cas retenus à la charge de l'accusé, de déterminer s'il avait effectivement usé de tromperie astucieuse. En effet, pour le Tribunal fédéral, le mode de faire de la cour de céans, soit de ne pas examiner la réalisation de la condition de l'astuce de manière concrète, pour chacun des cas d'escroquerie retenus, mais raisonner de manière générale, en n'opérant guère de distinction qu'entre les cas concernant des contrats de location, quatre au total, et ceux relatifs à d'autres prestations (travaux de réparation ou de déménagement, acquisition de vin ou de matériel informatique, etc.) n'est pas admissible car ce procédé ne permet pas de contrôler, si dans chacun des cas retenus, le droit fédéral a été correctement appliqué, notamment en ce qui concerne la condition de l'astuce (c. 3.2 et 3.3). En l'occurrence, le Tribunal fédéral a estimé qu'il aurait fallu établir, dans chacun des cas, ce que le recourant a précisément dit ou fait pour amener son cocontractant à lui fournir la prestation demandée et si ce dernier, avant de le faire, a effectué le minimum de vérification possible et exigible. Le Tribunal fédéral considère plus particulièrement que, dans deux des quatre cas de location, il n'est pas établi qu'une garantie de loyer a été réclamée et, dans l'un des cas où elle l'a été, l'appartement a été loué alors même qu'elle n'avait pas été payée, rien n'indiquant au surplus que les bailleurs aient cherché à s'enquérir d'une quelconque manière de la capacité du recourant de fournir sa propre prestation. Pour le Tribunal fédéral, tel qu'il est rédigé, l'arrêt de la cour de céans ne permet pas d'exclure que, du moins dans certains cas, les bailleurs se soient simplement fiés à des affirmations ou promesses du recourant. Selon le Tribunal fédéral, l'arrêt insiste essentiellement sur le comportement que le recourant, après avoir obtenu la prestation demandée, a adopté pour faire patienter ses cocontractants ou pour justifier ses carences, alors qu'est en réalité déterminant celui qu'il a adopté aux fins d'obtenir la prestation (c. 3.3). Concernant les autres cas d'escroquerie, le Tribunal fédéral relève encore que l'arrêt attaqué laisse penser qu'ils n'ont été retenus que du seul fait que l'accusé n'avait finalement pas payé les prestations fournies, après les avoir commandées en assurant qu'il allait les payer, voire après les avoir simplement commandées. En conséquence, le Tribunal fédéral a annulé l'arrêt attaqué pour complètement de l'état de fait de manière à pouvoir se prononcer sur la réalisation de l'infraction litigieuse.</w:t>
      </w:r>
    </w:p>
    <w:p>
      <w:r>
        <w:rPr>
          <w:b/>
        </w:rPr>
        <w:t>E. 3</w:t>
      </w:r>
    </w:p>
    <w:p>
      <w:r>
        <w:t>En l'espèce, l'état de fait du jugement de première instance ne permet pas à la cour de céans de procéder à un examen de chacun des cas retenus à charge de l'accusé de manière à déterminer si l'accusé a usé de tromperie astucieuse à chaque fois. Cet état de fait comporte en effet notamment des lacunes quant aux vérifications auxquelles les lésés ont ou n'ont pas procédé sur la solvabilité de l'accusé. Dès lors que le Tribunal fédéral semble estimer que le simple fait pour les bailleurs lésés de se fier aux affirmations ou promesses de l'accusé n'est pas suffisant en l'espèce (cf. c.</w:t>
      </w:r>
    </w:p>
    <w:p>
      <w:r>
        <w:rPr>
          <w:b/>
        </w:rPr>
        <w:t>E. 3.3</w:t>
      </w:r>
    </w:p>
    <w:p>
      <w:r>
        <w:t>de l'arrêt de renvoi), cette question de vérification doit être éclaircie. En résumé, le jugement attaqué doit être annulé et la cause renvoyée aux premiers juges, à charge pour eux d'instruire à nouveau les cas mis en exergue par le Tribunal fédéral, soit notamment les cas de locations d'appartement par l'accusé, et de déterminer si, compte tenu du comportement des bailleurs lésés, les conditions de l'escroquerie sont réalisées. Il leur appartiendra ensuite de rejuger l'accusé, soit de refixer la peine en fonction des éléments établis au travers de la nouvelle instruction.</w:t>
      </w:r>
    </w:p>
    <w:p>
      <w:r>
        <w:rPr>
          <w:b/>
        </w:rPr>
        <w:t>E. 4</w:t>
      </w:r>
    </w:p>
    <w:p>
      <w:r>
        <w:t>En conclusion, le recours de M.________ doit être admis, le jugement entrepris annulé et la cause renvoyée au Tribunal correctionnel de l'arrondissement de La Broye et du Nord vaudois afin qu'il procède dans le sens des considérants puis rende une nouvelle décision. Les frais de deuxième instance sont laissés à la charge de l'Etat (art. 450 al. 2 CPP), y compris l'indemnité allouée au défenseur d'office de M.________, étant précisé que cette dernière a été calculée sur la base d'un tarif horaire de 180 fr. et non de 260 fr. comme allégué par le défenseur d'office en référence à un arrêt 6B_752/2009. Cet arrêt se révèle en effet non applicable en l'espèce dans la mesure où il y s'agissait de fixer les dépens dus à l'avocat valaisan de plaignants, alors qu'en l'occurrence est concernée l'indemnité du défenseur d'office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