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79 vom 3. Mai 2009</w:t>
      </w:r>
    </w:p>
    <w:p>
      <w:r>
        <w:t>VD Tribunal cantonal, 2009-05-03, FR</w:t>
      </w:r>
    </w:p>
    <w:p>
      <w:r>
        <w:rPr>
          <w:b/>
        </w:rPr>
        <w:t xml:space="preserve">Quelle: </w:t>
      </w:r>
      <w:r>
        <w:t>https://mcp.opencaselaw.ch/entscheid/vd_findinfo_AP___2010___79</w:t>
      </w:r>
    </w:p>
    <w:p>
      <w:r>
        <w:t>FR: VD_FINDINFO AP / 2010 / 79 du 3 mai 2009</w:t>
      </w:r>
    </w:p>
    <w:p>
      <w:r>
        <w:t>IT: VD_FINDINFO AP / 2010 / 79 del 3 maggio 2009</w:t>
      </w:r>
    </w:p>
    <w:p>
      <w:pPr>
        <w:pStyle w:val="Heading2"/>
      </w:pPr>
      <w:r>
        <w:t>Regeste</w:t>
      </w:r>
    </w:p>
    <w:p>
      <w:r>
        <w:t>CONTRAT DE TRAVAIL, RÉSILIATION ABUSIVE, RÉSILIATION, PROTECTION DE LA PERSONNALITÉ, LIBERTÉ CONTRACTUELLE, CONGÉ DE REPRÉSAILLES | 328 al. 1 CO, 328 CO, 336 al. 1 let. d CO, 336 CO, 336a CO, 452 al. 1ter CPC, 452 al. 2 CPC, 452 CPC</w:t>
      </w:r>
    </w:p>
    <w:p>
      <w:pPr>
        <w:pStyle w:val="Heading2"/>
      </w:pPr>
      <w:r>
        <w:t>Erwägungen</w:t>
      </w:r>
    </w:p>
    <w:p>
      <w:r>
        <w:rPr>
          <w:b/>
        </w:rPr>
        <w:t>E. 1</w:t>
      </w:r>
    </w:p>
    <w:p>
      <w:r>
        <w:t>Les art. 444, 445 et 451 ch. 2 CPC (Code de procédure civile du 14 décembre 1966; RSV 270.11) ouvrent la voie du recours en nullité et en réforme contre les jugements principaux rendus par un tribunal d'arrondissement statuant en procédure accélérée (art. 18 LJT [loi du 17 mai 1999 sur la juridiction du travail; RSV 173.61]). Interjeté en temps utile par une partie qui y a intérêt, le recours, qui tend principalement à la réforme et subsidiairement à la nullité, est recevable en la forme.</w:t>
      </w:r>
    </w:p>
    <w:p>
      <w:r>
        <w:rPr>
          <w:b/>
        </w:rPr>
        <w:t>E. 2</w:t>
      </w:r>
    </w:p>
    <w:p>
      <w:r>
        <w:t>A l’appui de sa conclusion en nullité, le recourant invoque une prétendue violation de son droit d’être entendu. Il apparaît toutefois qu'il se plaint en réalité d’une appréciation arbitraire des preuves (art.</w:t>
      </w:r>
    </w:p>
    <w:p>
      <w:r>
        <w:rPr>
          <w:b/>
        </w:rPr>
        <w:t>E. 5</w:t>
      </w:r>
    </w:p>
    <w:p>
      <w:r>
        <w:t>En conclusion, le recours doit être rejeté et le jugement confirmé. La valeur litigieuse excédant 30'000 fr., le recourant doit supporter les frais de deuxième instance, réduits de moitié, arrêtés à 600 fr. (art. 232 al. 1 et 235 TFJC [tarif du 4 décembre 1984 des frais judiciaires en matière civile; RSV 270.11.5]; art. 10 al. 2 LJT). Obtenant gain de cause, l'intimée a droit à des dépens de deuxième instance, fixés à 1'300 francs. Par ces motifs, la Chambre des recours du Tribunal cantonal, statuant en audience publique, prononce : I. Le recours est rejeté. II. Le jugement est confirmé. III. Les frais de deuxième instance du recourant sont arrêtés à 600 fr. (six cents francs). IV. Le recourant Z.________ doit verser à l'intimée P.________ la somme de 1'300 fr. (mille trois cents francs) à titre de dépens de deuxième instance. V. L'arrêt motivé est exécutoire. Le président :               La greffière : Du 24 mars 2010 Le dispositif de l'arrêt qui précède est communiqué par écrit aux intéressés. La greffière : Du L'arrêt qui précède, dont la rédaction a été approuvée à huis clos, est notifié en expédition complète, par l'envoi de photocopies, à : ‑ Me Christian Favre (pour Z.________), ‑ Me Etienne Laffely (pour P.________). La Chambre des recours considère que la valeur litigieuse est de 90'000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