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74 vom 14. Januar 2010</w:t>
      </w:r>
    </w:p>
    <w:p>
      <w:r>
        <w:t>VD Tribunal cantonal, 2010-01-14, FR</w:t>
      </w:r>
    </w:p>
    <w:p>
      <w:r>
        <w:rPr>
          <w:b/>
        </w:rPr>
        <w:t xml:space="preserve">Quelle: </w:t>
      </w:r>
      <w:r>
        <w:t>https://mcp.opencaselaw.ch/entscheid/vd_findinfo_AP___2010___74</w:t>
      </w:r>
    </w:p>
    <w:p>
      <w:r>
        <w:t>FR: VD_FINDINFO AP / 2010 / 74 du 14 janvier 2010</w:t>
      </w:r>
    </w:p>
    <w:p>
      <w:r>
        <w:t>IT: VD_FINDINFO AP / 2010 / 74 del 14 gennaio 2010</w:t>
      </w:r>
    </w:p>
    <w:p>
      <w:pPr>
        <w:pStyle w:val="Heading2"/>
      </w:pPr>
      <w:r>
        <w:t>Regeste</w:t>
      </w:r>
    </w:p>
    <w:p>
      <w:r>
        <w:t>SURSIS PARTIEL À L'EXÉCUTION DE LA PEINE, SURSIS À L'EXÉCUTION DE LA PEINE, FIXATION DE LA PEINE, ORDONNANCE DE RENVOI, APPRÉCIATION DES PREUVES | 42 al. 2 CP, 42 CP, 43 CP, 47 CP, 353 CPP, 354 CPP, 355 CPP, 411 let. g CPP, 411 let. h CPP</w:t>
      </w:r>
    </w:p>
    <w:p>
      <w:pPr>
        <w:pStyle w:val="Heading2"/>
      </w:pPr>
      <w:r>
        <w:t>Erwägungen</w:t>
      </w:r>
    </w:p>
    <w:p>
      <w:r>
        <w:rPr>
          <w:b/>
        </w:rPr>
        <w:t>E. 1</w:t>
      </w:r>
    </w:p>
    <w:p>
      <w:r>
        <w:t>Invoquant l'art. 411 let. g CPP, le recourant soutient que la confiscation et la dévolution à l'Etat des sommes de 10'000 fr. et de 1'380 $ par le tribunal violent l'art. 353 CPP en raison du fait que l'ordonnance de renvoi ne mentionnait pas que ces montants étaient de provenance délictueuse.</w:t>
      </w:r>
    </w:p>
    <w:p>
      <w:r>
        <w:rPr>
          <w:b/>
        </w:rPr>
        <w:t>E. 1.1</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 amende au moins, il ne peut y avoir de sursis à l'exécution de la peine qu'en cas de circonstances particulièrement favorables (al. 2). Aux termes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(aI. 2). En cas de sursis partiel à l'exécution d'une peine privative de liberté, la partie suspendue, de même que la partie à exécuter, doivent être de six mois au moins. Les règles d'octroi de la libération conditionnelle (art. 86) ne lui sont pas applicables (al. 3). Un sursis partiel n'entre en considération que si l'octroi du sursis à l'exécution d'au moins une partie de la peine nécessite, à des fins de prévention spéciale, que l'autre partie de la peine soit exécutée, à savoir lorsqu'il existe des doutes très importants au sujet du comportement futur de l'auteur, notamment au vu de ses antécédents. En revanche, en cas de récidive dans les conditions posées par l'art. 42 al. 2 CP, il ne peut y avoir de sursis à l'exécution de la peine qu'en cas de circonstances particulièrement favorables. Il en découle que la possibilité d'un sursis partiel est nécessairement exclue si, durant les cinq ans qui précèdent l'infraction, l'auteur a été condamné à une peine privative de liberté ferme ou avec sursis de six mois au moins ou à une peine pécuniaire de 180 jours-amende au moins, le sursis ne pouvant être accordé qu'en cas de circonstances particulières favorables (cf. art. 42 al. 2 CP). Autrement dit, en cas de récidive au sens de l'art. 42 al. 2 CP, seules deux hypothèses sont envisageables : soit les circonstances sont particulièrement favorables et le sursis total doit être accordé à l'auteur; soit les circonstances sont mitigées ou défavorables et le sursis, respectivement partiel ou total, est alors exclu (TF 6B_492/2008 du 19 mai 2009, c. 3.1.3).</w:t>
      </w:r>
    </w:p>
    <w:p>
      <w:r>
        <w:rPr>
          <w:b/>
        </w:rPr>
        <w:t>E. 1.1.1</w:t>
      </w:r>
    </w:p>
    <w:p>
      <w:r>
        <w:t>In casu, la peine privative de liberté de trois ans infligée à l'intimé par les premiers juges est compatible avec l'octroi d'un sursis partiel. Toutefois, dans les cinq ans avant les infractions commises entre le 18 et le 19 novembre 2008, F.________ a notamment été condamné à une peine d'emprisonnement de dix mois (dont cinq mois avec sursis) en Hollande, de sorte que le sursis partiel n'est envisageable qu'en cas de circonstances particulièrement favorables. A cet égard, il sied de préciser que les jugements étrangers continuent d'être pris en compte lorsqu'ils correspondent aux principes du droit suisse en ce qui concerne l'opportunité de la répression, la quotité de la peine prononcée et la régularité de la procédure (Message concernant la modification du code pénal suisse et du code pénal militaire ainsi qu'une loi fédérale régissant la condition pénale des mineurs, FF 1999 II 1787 ss, p. 1856), ce qui est le cas en l'espèce. En conséquence, il n'existe aucune raison de douter du bien-fondé de cette condamnation que le recourant ne remet d'ailleurs nullement en cause.</w:t>
      </w:r>
    </w:p>
    <w:p>
      <w:r>
        <w:rPr>
          <w:b/>
        </w:rPr>
        <w:t>E. 1.2</w:t>
      </w:r>
    </w:p>
    <w:p>
      <w:r>
        <w:t>Il sied dès lors d'examiner s'il existe des circonstances particulièrement favorables pouvant justifier l'octroi d'un sursis partiel.</w:t>
      </w:r>
    </w:p>
    <w:p>
      <w:r>
        <w:rPr>
          <w:b/>
        </w:rPr>
        <w:t>E. 1.2.1</w:t>
      </w:r>
    </w:p>
    <w:p>
      <w:r>
        <w:t>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135 IV 152, c. 3.1.2).</w:t>
      </w:r>
    </w:p>
    <w:p>
      <w:r>
        <w:rPr>
          <w:b/>
        </w:rPr>
        <w:t>E. 1.2.2</w:t>
      </w:r>
    </w:p>
    <w:p>
      <w:r>
        <w:t>L'accusé a été condamné à quatre reprises entre 2005 et 2008 dont trois fois pour violence et maltraitance physique. Il n'a pas hésité à participer à un important trafic de stupéfiants environ une année après avoir subi cinq mois de détention, ce qui démontre qu'il n'a tiré aucun enseignement de sa précédente condamnation qui ne l'a pas dissuadé de persévérer dans sa façon d'agir. S'il n'a pas commis des infractions identiques à celles pour lesquelles il avait déjà été sanctionné précédemment, il n'en demeure pas moins qu'elles vont en s'aggravant. Ces éléments indiquent indéniablement une persévérance dans la délinquance et on ne saurait dès lors considérer que l'intimé a tiré les leçons de ses précédentes expériences et compris la signification du sursis. Son bon comportement en détention, dont il s'agit au demeurant d'un élément pour décider de l'octroi de la libération conditionnelle, ainsi que l'expression de regrets sincères ne sont à cet égard pas suffisants à démontrer qu'il aurait subi une évolution particulièrement positive au regard de la jurisprudence précitée (cf. supra, c. 1.2.1). C'est encore en vain qu'il soutient qu'il pourra retrouver son occupation à Rotterdam, puisque les infractions faisant l'objet de la présente condamnation ont été commises en cours d'emploi. Il n'y a dès lors pas de circonstances particulièrement favorables au sens de l'art. 42 al. 2 CP et c'est à tort que le sursis partiel a été accordé à F.________. Bien fondé, le moyen du recourant doit ainsi être admis et le jugement attaqué réformé en ce sens. 2. En définitive, le recours du Ministère public doit être admis et le jugement réformé dans le sens des considérants. Les frais de deuxième instance, y compris l'indemnité allouée au défenseur d'office de l'intimé, par 688 fr. 65, seront laissés à la charge de l'Etat.</w:t>
      </w:r>
    </w:p>
    <w:p>
      <w:r>
        <w:rPr>
          <w:b/>
        </w:rPr>
        <w:t>E. 2</w:t>
      </w:r>
    </w:p>
    <w:p>
      <w:r>
        <w:t>Le recourant invoque encore une violation de l'art. 353 CPP en ce sens que l'autorité intimée aurait retenu à tort que " ce n'est que son arrestation qui a empêché que cette importante quantité de drogue ne soit vendue par A.H.________, puis écoulée dans la région " (jgt., p. 29) alors qu'il n'aurait pas été renvoyé pour avoir eu l'intention de vendre de la cocaïne. L'ordonnance de renvoi du 10 août 2009 ne mentionne pas expressément que le recourant souhaitait vendre la cocaïne à un tiers. Toutefois, cette intention se déduit de l’état de fait de l’accusation qui retient d’ailleurs, dans l’énoncé des infractions applicables, la vente de drogue (p. 2). L'ordonnance de renvoi reprochait ainsi à A.H.________ d’avoir récupéré d’une mule, 111 fingers de cocaïne dans un sachet et 88 fingers de cocaïne dans un autre sachet, qu’il détenait dans une sacoche lors de son interpellation (p. 4). Il est également mentionné que l'accusé et son comparse se sont rendus dans un établissement public afin de rencontrer leur contact dont le signalement leur avait été donné (p. 5). Le recourant détenait toujours avec lui la drogue qu’il avait transportée de Genève à Renens. On comprend sans peine de l'ordonnance de renvoi que A.H.________ devait remettre cette drogue à son contact. A l’enquête et aux débats (jgt p. 26), celui-ci a d’ailleurs précisé qu’il devait remettre la drogue à ce contact, imaginant qu’il devait encaisser une certaine somme d’argent de l’ordre de 20'000 fr. sur lesquels il pourrait prélever 2'500 fr. en guise de commission. Il sied de préciser que l’acte d’accusation n’est pas un véritable jugement et n’a pas à décrire dans les moindres détails l’activité délictueuse reprochée au prévenu. Sur la base de l’état de fait de l'ordonnance de renvoi, A.H.________ savait qu’on lui reprochait d’avoir réceptionné plus d’un kg de cocaïne, d’avoir transporté cette drogue de Genève à Renens et d’avoir attendu son contact à qui on lui avait donné le signalement. Au demeurant, la LStup punit notamment les actes de remise, de transport, de détention, d’offre, de vente, d’acquisition, de courtage ou encore d’intermédiaire. On constate dès lors que le moyen serait de toute façon mal fondé, car l’ordonnance de renvoi retient de façon explicite plusieurs comportements punissables sous l’angle de l'art. 19 ch. 1 LStup, qu’elle punit de façon égale. Il s’ensuit que la violation invoquée ne serait pas essentielle dans la mesure où, l’art. 411 let. g CPP définissant un moyen de nullité relative, cette prétendue violation n’aurait pas influé sur la décision attaquée. En effet, le comportement explicitement reproché à A.H.________ entrait dans les prévisions de l’art. 19 ch. 1 Lstup. Mal fondé, ce moyen doit être rejeté</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référence citée). Dans le domaine spécifique des infractions à la LStup, le Tribunal fédéral a, en outre, dégagé les principes qui suivent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du 17 avril 2002, c. 2c et les références citées;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du 17 avril 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précité, c. 2d/aa; ATF 118 IV 342, c. 2d).</w:t>
      </w:r>
    </w:p>
    <w:p>
      <w:r>
        <w:rPr>
          <w:b/>
        </w:rPr>
        <w:t>E. 2.2</w:t>
      </w:r>
    </w:p>
    <w:p>
      <w:r>
        <w:t>Le recourant soutient qu'il ignorait la quantité exacte de cocaïne qu'il devait transporter. Il fait également valoir que la peine est exagérément sévère au vu de son rôle de simple mule chargée de transporter la cocaïne de Genève à Renens. Ce faisant, il s'écarte de manière inadmissible des faits retenue par les premiers juges, lesquels lient la Cour de cassation lorsqu'elle statue sous l'angle de la réforme (art. 447 al. 2 CPP). Il ressort du jugement entrepris que le recourant " a compté les boules avec la fille et qu’il en a dénombré 111 dans un sac et 88 dans l’autre " (jgt., p. 26). En outre, l'autorité intimée a retenu que A.H.________ " savait, dès son arrivée en Suisse, qu'il serait actif dans un trafic de stupéfiants ", qu'il " est du reste vraisemblable qu'il s'agit là du seul but qui l'a amené dans notre pays " (jgt., p. 26 in fine ). Les magistrats de première instance ont dès lors estimé à juste titre que l'accusé savait pertinemment sur quelle quantité portait le trafic. On ne saurait encore suivre l'accusé lorsqu'il cherche à se faire passer pour " un simple transporteur ", soit à ce qu'il est communément admis d'appeler " une mule ". Outre que ce faisant, il remet en cause des faits qui lient la cour de céans, ce qui n'est pas admissible en réforme, l'intéressé se borne à plaider sa propre interprétation d'une version des faits qui n'est pas celle retenue et échoue dans sa tentative de démonstration qu'il serait normal, voire caractéristique de ce rôle, d'être chargé de livrer la marchandise et d'encaisser en paiement une somme se chiffrant en milliers de francs. Au vu des faits qu'il a retenus de manière adéquate, le tribunal a considéré à juste titre que le recourant a participé à un trafic de cocaïne d'une ampleur considérable et qu'il était chargé de vendre la drogue qui lui avait été remise par G.________. Mal fondé, le moyen doit être rejeté.</w:t>
      </w:r>
    </w:p>
    <w:p>
      <w:r>
        <w:rPr>
          <w:b/>
        </w:rPr>
        <w:t>E. 2.3</w:t>
      </w:r>
    </w:p>
    <w:p>
      <w:r>
        <w:t>Le recourant reproche au tribunal de ne pas avoir tenu compte de ses aveux au moment de fixer la peine. Cette critique est vaine. Le jugement indique que A.H.________ " a fini par faire plaider qu'il pouvait adhérer à cette description des événements " (jgt., p. 25). Les premiers juges ont aussi mis en exergue que " l'accusé s'est répandu en explications contradictoires, n'hésitant même pas à affirmer à la police que c'est son ami d'enfance F.________ qui avait amené la drogue et que l'argent qui avait été envoyé lui appartenait. Aux débats, cet accusé a largement persisté dans un système de déni tendant à réduire sa responsabilité et n'a semblé prendre aucune conscience de la gravité de ses actes " (jgt., p. 29). Savoir si le geste du recourant dénote un esprit de repentir ou repose sur des considérations tactiques est une question d'appréciation des faits (TF 6B_741/2009 du 3 novembre 2009, c. 4.2.1). En l'occurrence, ce n'est qu'à l'audience de jugement, au terme de l'instruction contradictoire, que l'intéressé a finalement fait plaider qu'il pouvait adhérer à l'incrimination pénale, de sorte que le tribunal était fondé à considérer que ce revirement apparaissait bien plutôt avoir été inspiré par des considérations tactiques que par un réel changement d'état d'esprit face à ses actes. Mal fondé, le moyen doit être rejeté.</w:t>
      </w:r>
    </w:p>
    <w:p>
      <w:r>
        <w:rPr>
          <w:b/>
        </w:rPr>
        <w:t>E. 2.4</w:t>
      </w:r>
    </w:p>
    <w:p>
      <w:r>
        <w:t>Le recourant se prévaut encore de son casier judiciaire vierge, des bons renseignements obtenus à son sujet et de son comportement irréprochable en détention. Contrairement à ce que prétend A.H.________, l'autorité intimée n'a pas méconnu sa qualité de délinquant primaire puisqu'elle a relevé son absence d'antécédents, de même que son bon comportement en détention (jgt., p. 29). Mal fondé, le moyen doit être rejeté.</w:t>
      </w:r>
    </w:p>
    <w:p>
      <w:r>
        <w:rPr>
          <w:b/>
        </w:rPr>
        <w:t>E. 2.5</w:t>
      </w:r>
    </w:p>
    <w:p>
      <w:r>
        <w:t>Le recourant fait encore valoir qu'il n'a jamais eu l'intention de vendre la cocaïne qu'il a transportée. Encore une fois, c'est en vain que l'accusé s'écarte de l'état de fait retenu dans le jugement. Le tribunal a relevé (jgt., p. 26) qu'il " imaginait qu'il devrait encaisser une certaine somme d'argent, de l'ordre de 20'000 fr. d'après son estimation, sur lesquels il pourrait prélever 2'500 fr. pour sa participation et 2'500 fr. au titre de rémunération des services de F.________ ". En conséquence, il ne fait aucun doute que le rôle de A.H.________ était de transporter la drogue et de la vendre à la personne avec laquelle il avait rendez-vous, le prix de vente ainsi obtenu lui permettant de se rémunérer pour le travail accompli. Mal fondé, le grief doit être rejeté.</w:t>
      </w:r>
    </w:p>
    <w:p>
      <w:r>
        <w:rPr>
          <w:b/>
        </w:rPr>
        <w:t>E. 2.6</w:t>
      </w:r>
    </w:p>
    <w:p>
      <w:r>
        <w:t>En définitive, le Tribunal correctionnel a fixé la sanction dans le cadre légal et n'a pas omis, ni considéré à tort des éléments pertinents pour la fixation de la peine; en particulier, il n'a pas ignoré l'absence d'antécédents et le bon comportement en détention du recourant. Pour le reste, au vu de l'ensemble des éléments exposés dans le jugement attaqué et de sa lourde culpabilité, la peine infligée à l'accusé n'apparaît pas procéder d'un excès ou d'un abus du large pouvoir d'appréciation dont disposaient les premiers juges. Le grief est donc infondé. Vu la quotité de la peine, la question du sursis partiel ne se pose pas, le maximum légal de trois ans prévu à l'art. 43 al. 1 CP étant dépassé. IV. En définitive, aucun des moyens invoqués par A.H.________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 C. Recours du Ministère public 1. Le recours est exclusivement en réforme. Invoquant une violation des art. 42 al. 2 et 43 CP, le Ministère public soutient qu'en raison des antécédents de l'accusé, il incombait aux juges de première instance d'examiner s'il existait des circonstances particulièrement favorables avant de lui octroyer un sursis partiel. Or, en leur absence au cas d'espèce, seule une peine ferme pouvait être prononcée.</w:t>
      </w:r>
    </w:p>
    <w:p>
      <w:r>
        <w:rPr>
          <w:b/>
        </w:rPr>
        <w:t>E. 3</w:t>
      </w:r>
    </w:p>
    <w:p>
      <w:r>
        <w:t>Invoquant une violation de l'art. 411 let. h CPP, le recourant soutient enfin que l'état de fait présente une contradiction puisqu'il ne mentionne à aucun autre moment qu'il ait eu l'intention de vendre de la drogue.</w:t>
      </w:r>
    </w:p>
    <w:p>
      <w:r>
        <w:rPr>
          <w:b/>
        </w:rPr>
        <w:t>E. 3.1</w:t>
      </w:r>
    </w:p>
    <w:p>
      <w:r>
        <w:t>On rappellera tout d'abord que le moyen de nullité de l'art. 411 let. h ou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(Bovay et alii, op. cit., n. 8.1 ad art. 411 CPP; CCASS, 19 septembre 2000, n° 504; CCASS, 14 septembre 2000, n° 494; JT 1991 III 45 ; JT 1999 III 83, c. 6b; Besse‑Matile/Abravanel, op. cit., p. 103). S'agissant de l'art. 411 let. h CPP, l'existence d'une insuffisance ou d'une lacune dans l'état de fait  ne peut être retenue comme moyen de nullité que si elle porte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cette disposition (Besse-Matile/Abravanel, op. cit., p. 104). Par ailleurs,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Bersier, op. cit., spéc. p. 82; Besse-Matile/Abravanel, op. cit., p. 105).</w:t>
      </w:r>
    </w:p>
    <w:p>
      <w:r>
        <w:rPr>
          <w:b/>
        </w:rPr>
        <w:t>E. 3.2</w:t>
      </w:r>
    </w:p>
    <w:p>
      <w:r>
        <w:t>La contradiction invoquée est inexistante. Le jugement relate expressément (jgt., p. 26) qu'il " imaginait qu'il devrait encaisser une certaine somme d'argent, de l'ordre de 20'000 fr. d'après son estimation, sur lesquels il pourrait prélever 2'500 fr. pour sa participation et 2'500 fr. au titre de rémunération des services de F.________ ". L'activité consistant à remettre une marchandise contre de l'argent s'appelle indéniablement une vente. Il n'y a en outre aucune contradiction avec la phrase selon laquelle " ce n'est que son arrestation qui a empêché que cette importante quantité de drogue ne soit vendue par A.H.________ puis écoulée dans la région " (jgt., p. 29) dans la mesure où ce dernier a effectivement été interpellé en possession de tous les fingers de cocaïne remis par G.________. Mal fondé, le moyen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 2. Invoquant une violation de l'art. 47 CP, l'accusé se plaint de la quotité de la peine privative de liberté qui lui a été infligée.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