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49 vom 27. Januar 2010</w:t>
      </w:r>
    </w:p>
    <w:p>
      <w:r>
        <w:t>VD Tribunal cantonal, 2010-01-27, FR</w:t>
      </w:r>
    </w:p>
    <w:p>
      <w:r>
        <w:rPr>
          <w:b/>
        </w:rPr>
        <w:t xml:space="preserve">Quelle: </w:t>
      </w:r>
      <w:r>
        <w:t>https://mcp.opencaselaw.ch/entscheid/vd_findinfo_AP___2010___49</w:t>
      </w:r>
    </w:p>
    <w:p>
      <w:r>
        <w:t>FR: VD_FINDINFO AP / 2010 / 49 du 27 janvier 2010</w:t>
      </w:r>
    </w:p>
    <w:p>
      <w:r>
        <w:t>IT: VD_FINDINFO AP / 2010 / 49 del 27 gennaio 2010</w:t>
      </w:r>
    </w:p>
    <w:p>
      <w:pPr>
        <w:pStyle w:val="Heading2"/>
      </w:pPr>
      <w:r>
        <w:t>Regeste</w:t>
      </w:r>
    </w:p>
    <w:p>
      <w:r>
        <w:t>CHOSE LOUÉE, BAIL À LOYER, DÉFAUT DE LA CHOSE | 267 CO, 267a CO, 452 CPC, 456a CPC</w:t>
      </w:r>
    </w:p>
    <w:p>
      <w:pPr>
        <w:pStyle w:val="Heading2"/>
      </w:pPr>
      <w:r>
        <w:t>Erwägungen</w:t>
      </w:r>
    </w:p>
    <w:p>
      <w:r>
        <w:rPr>
          <w:b/>
        </w:rPr>
        <w:t>E. 5</w:t>
      </w:r>
    </w:p>
    <w:p>
      <w:r>
        <w:t>En conclusion, le recours de A.L.________ est partiellement admis. Le recours de Z.________ est rejeté. Le jugement est réformé au chiffre III de son dispositif en ce sens que le demandeur Z.________ doit payer à la défenderesse A.L.________ la somme de 3'246 fr 40, avec intérêts à 5% l'an dès le 23 avril 2007. L es frais de deuxième instance de la recourante A.L.________ sont arrêtés à 350 francs. Les frais de deuxième instance du recourant Z.________ sont arrêtés à 200 francs. Z.________doit payer à A.L.________, qui obtient partiellement gain de cause (art. 92 al, 2 CPC), la somme de 334 fr. à titre de dépens de deuxième instance. Par ces motifs, la Chambre des recours du Tribunal cantonal, statuant en audience publique, prononce : I. Le recours de A.L.________ est partiellement admis. II. Le recours de Z.________ est rejeté. III. Le jugement est réformé au chiffre III de son dispositif comme il suit : III.        Le demandeur Z.________ doit payer à la défenderesse A.L.________ la somme de 3'246 fr. 40 (trois mille deux cent quarante-six francs et quarante centimes), avec intérêts à 5 % l'an dès le 23 avril 2007. Il est confirmé pour le surplus. IV. les frais de deuxième instance de la recourante A.L.________ sont arrêtés à 350 fr. (trois cent cinquante francs). V. Les frais de deuxième instance du recourant Z.________sont arrêtés à 200 fr. (deux cents francs). VI. Z.________ doit payer à A.L.________ la somme de 334 francs (trois cent trente-quatre francs) à titre de dépens de deuxième instance. VII. L'arrêt motivé est exécutoire. Le président : La greffière : Du 27 janvier 2010 Le dispositif de l'arrêt qui précède est communiqué par écrit aux intéressés. La greffière : Du L'arrêt qui précède, dont la rédaction a été approuvée à huis clos, est notifié en expédition complète, par l'envoi de photocopies à : ‑      M e Eric Ramel (pour A.L.________), -      M . Z.________, représenté par Mme Marie-Christine Charles, mandataire agréée par l'ASLOCA. La Chambre des recours considère que la valeur litigieuse est de 6'681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