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39 vom 1. März 2010</w:t>
      </w:r>
    </w:p>
    <w:p>
      <w:r>
        <w:t>VD Tribunal cantonal, 2010-03-01, FR</w:t>
      </w:r>
    </w:p>
    <w:p>
      <w:r>
        <w:rPr>
          <w:b/>
        </w:rPr>
        <w:t xml:space="preserve">Quelle: </w:t>
      </w:r>
      <w:r>
        <w:t>https://mcp.opencaselaw.ch/entscheid/vd_findinfo_AP___2010___39</w:t>
      </w:r>
    </w:p>
    <w:p>
      <w:r>
        <w:t>FR: VD_FINDINFO AP / 2010 / 39 du 1 mars 2010</w:t>
      </w:r>
    </w:p>
    <w:p>
      <w:r>
        <w:t>IT: VD_FINDINFO AP / 2010 / 39 del 1 marzo 2010</w:t>
      </w:r>
    </w:p>
    <w:p>
      <w:pPr>
        <w:pStyle w:val="Heading2"/>
      </w:pPr>
      <w:r>
        <w:t>Regeste</w:t>
      </w:r>
    </w:p>
    <w:p>
      <w:r>
        <w:t>RELIEF, DÉCISION PRÉJUDICIELLE, NOTIFICATION DE LA DÉCISION, NOTIFICATION IRRÉGULIÈRE, NOTIFICATION PAR VOIE OFFICIELLE, DOMICILE | 404 al. 1 CPP, 406 al. 1 CPP, 431 al. 2 CPP</w:t>
      </w:r>
    </w:p>
    <w:p>
      <w:pPr>
        <w:pStyle w:val="Heading2"/>
      </w:pPr>
      <w:r>
        <w:t>Erwägungen</w:t>
      </w:r>
    </w:p>
    <w:p>
      <w:r>
        <w:rPr>
          <w:b/>
        </w:rPr>
        <w:t>E. 1</w:t>
      </w:r>
    </w:p>
    <w:p>
      <w:r>
        <w:t>La décision par laquelle le président rejette ou déclare irrecevable une demande de relief en application de l'art. 406 al. 1 CPP (Code de procédure pénale du 12 septembre 1967; RSV 312.01) est susceptible tant d'un recours en réforme séparé pour fausse application de la loi ou abus du pouvoir d'appréciation, fondé sur l'art. 420 let. d CPP, que d'un recours en nullité fondé sur l'art. 411 CPP (Bovay, Dupuis, Monnier, Moreillon et Piguet, Procédure pénale vaudoise, Code annoté, 3 ème éd., Bâle 2008, n. 4 ad art. 406 CPP). Déposé en temps utile, principalement en réforme et subsidiairement en nullité, le présent recours est recevable.</w:t>
      </w:r>
    </w:p>
    <w:p>
      <w:r>
        <w:rPr>
          <w:b/>
        </w:rPr>
        <w:t>E. 2</w:t>
      </w:r>
    </w:p>
    <w:p>
      <w:r>
        <w:t>Le recourant fait valoir que le jugement du 16 juin 2009 n'a pas été valablement notifié. Il constate que le tribunal l'a cité à comparaître par voie édictale et qu'il ne pouvait donc pas lui notifier le jugement à une adresse à Donatyre fournie après l'audience de jugement. a) L'accusé condamné par défaut à une peine, à tout ou partie des frais de la cause ou à une indemnité en faveur de la partie civile peut demander le relief (art. 403 al. 1 CPP). Pour présenter une telle demande, le condamné dispose d'un délai de vingt jours dès la notification du jugement, si celle-ci l'atteint en Suisse, et d'un délai de trois mois si celle-ci l'a atteint à l'étranger (art. 404 al. 1 CPP). En règle générale, la notification est effectuée par la poste, sous pli recommandé et avec avis de réception du destinataire (art. 121 al. 1 et 404 CPP). Si la notification ne peut se faire de la sorte, notamment si le lieu de séjour du destinataire est inconnu, elle a lieu par insertion dans la Feuille des avis officiels du Canton de Vaud (art. 121 al. 3 CPP). b) En l'espèce, sur la base des pièces du dossier, il apparaît que la motivation des premiers juges est inexacte, comme le soutient à juste titre le recourant. En effet, le greffe du tribunal d'arrondissement n'a pas su après l'audience de jugement par les autorités fribourgeoises que le recourant était domicilié à Donatyre. Le tribunal en avait en réalité déjà connaissance avant, puisqu'il a mentionné dans le jugement du 16 juin 2009 qu'R.________ était domicilié à Donatyre (cf. p. 2). Dès lors que le tribunal savait, à l'ouverture des débats, où le recourant était domicilié, mais qu'il l'a quand même assigné par voie édictale le 29 mai 2009, on doit admettre qu'il considérait cette adresse à Donatyre comme insuffisante pour y notifier des actes judiciaires à l'intéressé et a fortiori un jugement par défaut. Il s'ensuit que le jugement du 16 juin 2009 aurait lui aussi dû être notifié par la voie édictale, contrairement à l'avis du premier juge. En conséquence, dans la mesure où le recourant a déclaré devant le Juge d'instruction du Nord vaudois le 20 janvier 2010 qu'il n'avait jamais eu connaissance de sa condamnation, la demande de relief ne paraît pas de prime abord tardive et le premier juge n'aurait pas dû la rejeter préjudiciellement.</w:t>
      </w:r>
    </w:p>
    <w:p>
      <w:r>
        <w:rPr>
          <w:b/>
        </w:rPr>
        <w:t>E. 3</w:t>
      </w:r>
    </w:p>
    <w:p>
      <w:r>
        <w:t>En conclusion, le recours doit être admis et le prononcé attaqué annulé. Le dossier est renvoyé au premier juge pour examen du bien-fondé de la demande de relief. Les frais de deuxième instance sont laissés à la charge de l'état (art. 451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