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277 vom 25. Juni 2010</w:t>
      </w:r>
    </w:p>
    <w:p>
      <w:r>
        <w:t>VD Tribunal cantonal, 2010-06-25, FR</w:t>
      </w:r>
    </w:p>
    <w:p>
      <w:r>
        <w:rPr>
          <w:b/>
        </w:rPr>
        <w:t xml:space="preserve">Quelle: </w:t>
      </w:r>
      <w:r>
        <w:t>https://mcp.opencaselaw.ch/entscheid/vd_findinfo_AP___2010___277</w:t>
      </w:r>
    </w:p>
    <w:p>
      <w:r>
        <w:t>FR: VD_FINDINFO AP / 2010 / 277 du 25 juin 2010</w:t>
      </w:r>
    </w:p>
    <w:p>
      <w:r>
        <w:t>IT: VD_FINDINFO AP / 2010 / 277 del 25 giugno 2010</w:t>
      </w:r>
    </w:p>
    <w:p>
      <w:pPr>
        <w:pStyle w:val="Heading2"/>
      </w:pPr>
      <w:r>
        <w:t>Regeste</w:t>
      </w:r>
    </w:p>
    <w:p>
      <w:r>
        <w:t>DÉFAUT{CONTUMACE}, JUGEMENT PAR DÉFAUT, REPRÉSENTATION SANS POUVOIRS | 444 al. 1 ch. 3 CPC, 69 al. 1 CPC, 92 CPC</w:t>
      </w:r>
    </w:p>
    <w:p>
      <w:pPr>
        <w:pStyle w:val="Heading2"/>
      </w:pPr>
      <w:r>
        <w:t>Erwägungen</w:t>
      </w:r>
    </w:p>
    <w:p>
      <w:r>
        <w:rPr>
          <w:b/>
        </w:rPr>
        <w:t>E. 1</w:t>
      </w:r>
    </w:p>
    <w:p>
      <w:r>
        <w:t>a) Le Code de procédure civile du 19 décembre 2008 (ci-après CPC, RS 272) est entré en vigueur le 1 er janvier 2011. Toutefois, le jugement attaqué a été communiqué aux parties avant cette date, de sorte que ce sont les règles du Code de procédure civile vaudois du 14 décembre 1966 (ci-après CPC-VD, RSV 270.11) qui sont applicables (art. 405 al. 1 CPC). b) Les art. 444 et 447 CPC-VD ouvrent la voie du recours en nullité contre un jugement principal rendu par un Juge de paix. On ne se trouve pas en présence du recours de l'art. 69 al. 2 CPC-VD qui permet au mandataire éconduit d'instance et condamné aux dépens de recourir auprès du Tribunal cantonal, puisque le jugement statue sur le fond et met les dépens à la charge du demandeur. c) Interjeté en temps utile par une partie qui y a intérêt, le présent recours, conforme aux exigences des art. 458 et 461 CPC-VD, est recevable.</w:t>
      </w:r>
    </w:p>
    <w:p>
      <w:r>
        <w:rPr>
          <w:b/>
        </w:rPr>
        <w:t>E. 2</w:t>
      </w:r>
    </w:p>
    <w:p>
      <w:r>
        <w:t>Saisie d’un recours en nullité, la Chambre des recours n’entre en matière que sur les moyens de nullité dûment développés (Poudret/Haldy/Tappy, Procédure civile vaudoise, 3 ème éd., Lausanne 2002, n. 2 ad art. 465 CPC, p. 722; JT 2009 III 94 c. 3 p. 95).</w:t>
      </w:r>
    </w:p>
    <w:p>
      <w:r>
        <w:rPr>
          <w:b/>
        </w:rPr>
        <w:t>E. 3</w:t>
      </w:r>
    </w:p>
    <w:p>
      <w:r>
        <w:t>Le recourant prétend que le premier juge aurait dû, plutôt que de se borner à inviter le représentant non muni d’une procuration légalisée à quitter la salle d’audience, lui accorder un délai pour justifier de ses pouvoirs. En s'abstenant de cette formalité, le juge aurait fait preuve de formalisme excessif. Selon l’art. 69 CPC-VD, le juge doit inviter le mandataire à justifier de ses pouvoirs dans le délai qu’il fixe ou au plus tard à l’audience de jugement. Lorsque cette justification n’est requise qu’à l’audience de jugement, elle doit intervenir séance tenante (Poudret/Haldy/Tappy, op. cit. n. 1 ad art. 69 CPC, p. 126). En l’espèce, c’est à l’audience préliminaire que le mandataire du recourant a été invité à justifier de ses pouvoirs. Seule une légalisation manquait à la procuration qu’il a alors produite. A cela s'ajoute que le motif justifiant le défaut indiqué par le Juge de paix au procès-verbal de l'audience (procuration générale et non pas spéciale), n'est pas le même que celui invoqué dans le jugement (défaut de légalisation). On ne voit en outre pas pourquoi le collaborateur d'un établissement de droit public devrait voir légalisée la procuration délivrée en sa faveur, surtout s'il a cosigné la demande. Rien ne permettait, dès lors, au Juge de paix de s’abstenir de fixer à l’intéressé un délai pour remédier à une éventuelle carence comme prévu à l’art. 69 al. 1 CPC-VD. En agissant de la sorte, le premier juge a fait preuve de formalisme excessif (Poudret/Haldy/Tappy, op. cit. n. 1 ad art. 69 CPC, p. 126) et a, par conséquent, violé une règle de procédure essentielle au sens de l’art. 444 al. 1 ch. 3 CPC-VD. Le recours doit dès lors être admis.</w:t>
      </w:r>
    </w:p>
    <w:p>
      <w:r>
        <w:rPr>
          <w:b/>
        </w:rPr>
        <w:t>E. 4</w:t>
      </w:r>
    </w:p>
    <w:p>
      <w:r>
        <w:t>Le recourant obtient gain de cause. Par conséquent, des dépens devraient être mis à la charge de l'intimé (art. 92 al. 1 CPC-VD). Cela serait cependant inéquitable. En effet, celui-ci n’avait de prise ni sur le contenu de la procuration litigieuse, ni sur le comportement du premier juge. De plus, il n'a pas conclu au rejet du recours (ATF 119 Ia 1, cité par Poudret/Haldy/Tappy; op. cit. n. 2 ad art. 92 CPC p. 174). En application de l'art. 92 al. 3 CPC-VD, le juge peut mettre des dépens à la charge de la partie qui obtient gain de cause si elle a abusivement prolongé ou compliqué le procès. Partant, il peut aussi ne point lui en allouer. En l'espèce, même si l'on peut douter qu'il se justifie d'exiger une légalisation du collaborateur du recourant, il y a lieu de faire application de cette disposition et de ne pas allouer de dépens à celui-ci.</w:t>
      </w:r>
    </w:p>
    <w:p>
      <w:r>
        <w:rPr>
          <w:b/>
        </w:rPr>
        <w:t>E. 5</w:t>
      </w:r>
    </w:p>
    <w:p>
      <w:r>
        <w:t>En conclusion, le recours doit être admis et le jugement annulé. Le présent arrêt est rendu sans frais en application de l'art. 226 TFJC (Tarif du 4 décembre 1984 des frais judiciaires en matière civile; RSV 270.11.5). Par ces motifs, la Chambre des recours du Tribunal cantonal, statuant en audience publique, prononce : I. Le recours est admis. II. Le jugement est annulé. III. L'arrêt est rendu sans frais ni dépens. IV. L'arrêt motivé est exécutoire. Le président :               La greffière : Du 1er décembre 2010 Le dispositif de l'arrêt qui précède est communiqué par écrit aux intéressés. La greffière : Du L'arrêt qui précède, dont la rédaction a été approuvée à huis clos, est notifié en expédition complète, par l'envoi de photocopies à : ‑ Mme Geneviève Gehrig (pour l'Etablissement Vaudois d'Accueil des Migrants), ‑ M. P.________. La Chambre des recours considère que la valeur litigieuse est de 3'043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