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268 vom 29. September 2009</w:t>
      </w:r>
    </w:p>
    <w:p>
      <w:r>
        <w:t>VD Tribunal cantonal, 2009-09-29, FR</w:t>
      </w:r>
    </w:p>
    <w:p>
      <w:r>
        <w:rPr>
          <w:b/>
        </w:rPr>
        <w:t xml:space="preserve">Quelle: </w:t>
      </w:r>
      <w:r>
        <w:t>https://mcp.opencaselaw.ch/entscheid/vd_findinfo_AP___2010___268</w:t>
      </w:r>
    </w:p>
    <w:p>
      <w:r>
        <w:t>FR: VD_FINDINFO AP / 2010 / 268 du 29 septembre 2009</w:t>
      </w:r>
    </w:p>
    <w:p>
      <w:r>
        <w:t>IT: VD_FINDINFO AP / 2010 / 268 del 29 settembre 2009</w:t>
      </w:r>
    </w:p>
    <w:p>
      <w:pPr>
        <w:pStyle w:val="Heading2"/>
      </w:pPr>
      <w:r>
        <w:t>Regeste</w:t>
      </w:r>
    </w:p>
    <w:p>
      <w:r>
        <w:t>DÉCISION DE RENVOI, DROIT PÉNAL, TRIBUNAL FÉDÉRAL, ACTE D'ORDRE SEXUEL, INTERNEMENT{DROIT PÉNAL}, EXPERTISE, EXPERTISE PSYCHIATRIQUE, CONSTATATION DES FAITS, MOTIVATION DE LA DÉCISION, ADMISSION DE LA DEMANDE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e éd., Zurich 2006, n. 1488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p. 4143 ; Corboz, Le pourvoi en nullité à la Cour de cassation, in : SJ 1991 pp. 57ss, spéc. pp. 99-100 ; ATF 117 IV 97, JT 1993 IV 130 ; TF 6B_161/2009 du 7 mai 2009, c. 2.2).</w:t>
      </w:r>
    </w:p>
    <w:p>
      <w:r>
        <w:rPr>
          <w:b/>
        </w:rPr>
        <w:t>E. 2</w:t>
      </w:r>
    </w:p>
    <w:p>
      <w:r>
        <w:t>Dans son arrêt du 3 novembre 2010, le Tribunal fédéral a considéré que le risque de récidive lié aux infractions de viols et de contraintes sexuelles n’était que possible à dire d’expert, soit insuffisant pour justifier un internement ultérieur en application de l’art. 65 CP. Il a en outre estimé que les constatations de fait cantonales ne permettaient pas de déterminer dans quelle mesure les traumatismes que pourraient subir les anciennes victimes du recourant si ce dernier venait à reprendre contact avec elles pourraient être constitutifs de lésions corporelles graves. Enfin, il a constaté l’absence de motivation dans l’arrêt attaqué sur la question des troubles psychiques du recourant, dont l’existence était nécessaire pour prononcer l’internement des délinquants mentalement anormaux en vertu de l’ancien art. 43 CP. Le Tribunal fédéral a donc renvoyé la cause à l’autorité de céans afin qu’elle examine ces différents points, en ordonnant, le cas échéant, de nouvelles expertises. Il s’ensuit qu’une admission du recours en réforme est exclue en l’état, de sorte qu’il y a lieu de procéder à un complément d’instruction dans le sens voulu par le Tribunal fédéral. La cour de céans n’étant pas à même de procéder aux mesures d’instruction nécessaires, ce dont conviennent les parties, il sied donc d’annuler l’arrêt attaqué et de renvoyer la cause à l’autorité de première instance, à charge pour elle d’ordonner une nouvelle expertise déterminant si les troubles psychiques du recourant étaient suffisamment importants en 1998 pour justifier l’application de l’ancien art. 43 ch. 1 al. 2 CP. S’agissant de la mise en œuvre d’une éventuelle expertise sur les victimes, il appartiendra au tribunal de première instance d’examiner la faisabilité et l’opportunité d’une telle démarche.</w:t>
      </w:r>
    </w:p>
    <w:p>
      <w:r>
        <w:rPr>
          <w:b/>
        </w:rPr>
        <w:t>E. 3</w:t>
      </w:r>
    </w:p>
    <w:p>
      <w:r>
        <w:t>Au vu de ce qui précède, le recours doit être admis, le jugement attaqué annulé et la cause renvoyée au Tribunal correctionnel de l’arrondissement de La Côte pour nouvelle instruction et nouveau jugement dans le sens des considérants.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