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264 vom 22. Juni 2010</w:t>
      </w:r>
    </w:p>
    <w:p>
      <w:r>
        <w:t>VD Tribunal cantonal, 2010-06-22, FR</w:t>
      </w:r>
    </w:p>
    <w:p>
      <w:r>
        <w:rPr>
          <w:b/>
        </w:rPr>
        <w:t xml:space="preserve">Quelle: </w:t>
      </w:r>
      <w:r>
        <w:t>https://mcp.opencaselaw.ch/entscheid/vd_findinfo_AP___2010___264</w:t>
      </w:r>
    </w:p>
    <w:p>
      <w:r>
        <w:t>FR: VD_FINDINFO AP / 2010 / 264 du 22 juin 2010</w:t>
      </w:r>
    </w:p>
    <w:p>
      <w:r>
        <w:t>IT: VD_FINDINFO AP / 2010 / 264 del 22 giugno 2010</w:t>
      </w:r>
    </w:p>
    <w:p>
      <w:pPr>
        <w:pStyle w:val="Heading2"/>
      </w:pPr>
      <w:r>
        <w:t>Regeste</w:t>
      </w:r>
    </w:p>
    <w:p>
      <w:r>
        <w:t>LÉSION CORPORELLE SIMPLE, AGRESSION, CONCOURS D'INFRACTIONS, CONCOURS IMPARFAIT, AGGRAVATION DE LA PEINE, DROIT PÉNAL, FIXATION DE LA PEINE, FRAIS JUDICIAIRES, ADMISSION PARTIELLE | 123 CP, 134 CP, 47 CP</w:t>
      </w:r>
    </w:p>
    <w:p>
      <w:pPr>
        <w:pStyle w:val="Heading2"/>
      </w:pPr>
      <w:r>
        <w:t>Erwägungen</w:t>
      </w:r>
    </w:p>
    <w:p>
      <w:r>
        <w:rPr>
          <w:b/>
        </w:rPr>
        <w:t>E. 3</w:t>
      </w:r>
    </w:p>
    <w:p>
      <w:r>
        <w:t>Dans un second moyen, le Ministère public soutient que la peine prononcée par le premier juge est arbitrairement clémente, en violation de l’art. 47 CP. a)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Bovay/Dupuis/Monnier/Moreillon/Piguet, Procédure pénale vaudoise, Code annoté, 3 e éd., Bâle 2008, n. 1.4 ad art. 415 CPP). b) En l’occurrence, le Ministère public doit être suivi, même si dans une proportion modeste, déjà du seul fait du concours existant entre les infractions de lésions corporelles simples et d’agression. Pour le surplus, le recourant reproche au premier juge de ne pas avoir tenu compte des antécédents des coaccusés, lesquels avaient tous deux été condamnés précédemment pour infractions contre l’intégrité corporelle, et considère que les regrets exprimés en audience doivent être relativisés, dans la mesure où les accusés ont persisté à nier les faits en rejetant la faute sur le plaignant pendant toute la durée de l’instruction. Il s’oppose enfin à une réduction de la culpabilité pour le motif que les intimés ont agi dans le cadre de leur activité d’agents de sécurité, les coups ayant été portés sans aucune nécessité d’ordre sécuritaire. Avec le Ministère public, il peut être fait grief au premier juge de ne pas avoir tenu compte des récidives spéciales de chacun des accusés. En effet, A.________ avait été condamné à une amende pour voies de fait quelques semaines seulement avant la présente affaire. Quant à B.________, il n’avait, il est vrai, pas encore été condamné au moment des faits, mais faisait l’objet d’une enquête qui a abouti à une peine de nonante jours-amende pour lésions corporelles simples qualifiées. Ces récidives spéciales constituent une circonstance aggravante. En outre, il peut être reproché au premier juge, comme le soutient le recourant, d’avoir généreusement retenu que les deux accusés avaient admis les faits, lors même que jusqu’à l’audience du tribunal, tel n’était pas le cas. Il s’ensuit qu’une peine de 60 jours-amende doit être prononcée à l’encontre de chacun des coaccusés, le montant de l’amende demeurant pour sa part inchangé. Pour le surplus, ni la quotité du montant des jours-amende, ni l’octroi du sursis n’étant mis en cause, pas plus que la condamnation au paiement d’une indemnité pour tort moral, le jugement doit être confirmé sur ces différents points.</w:t>
      </w:r>
    </w:p>
    <w:p>
      <w:r>
        <w:rPr>
          <w:b/>
        </w:rPr>
        <w:t>E. 4</w:t>
      </w:r>
    </w:p>
    <w:p>
      <w:r>
        <w:t>Le Ministère public conclut enfin à ce que la totalité des frais de première instance soit supportée par les intimés. Vu l’issue du recours, il sied de faire droit aux conclusions du recours sur ce dernier point et de mettre l’intégralité des frais de justice à la charge des deux coaccusés, à raison d’une moitié chacun.</w:t>
      </w:r>
    </w:p>
    <w:p>
      <w:r>
        <w:rPr>
          <w:b/>
        </w:rPr>
        <w:t>E. 5</w:t>
      </w:r>
    </w:p>
    <w:p>
      <w:r>
        <w:t>En définitive, le recours doit être partiellement admis et le jugement attaqué réformé dans le sens des considérants.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