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261 vom 17. November 2010</w:t>
      </w:r>
    </w:p>
    <w:p>
      <w:r>
        <w:t>VD Tribunal cantonal, 2010-11-17, FR</w:t>
      </w:r>
    </w:p>
    <w:p>
      <w:r>
        <w:rPr>
          <w:b/>
        </w:rPr>
        <w:t xml:space="preserve">Quelle: </w:t>
      </w:r>
      <w:r>
        <w:t>https://mcp.opencaselaw.ch/entscheid/vd_findinfo_AP___2010___261</w:t>
      </w:r>
    </w:p>
    <w:p>
      <w:r>
        <w:t>FR: VD_FINDINFO AP / 2010 / 261 du 17 novembre 2010</w:t>
      </w:r>
    </w:p>
    <w:p>
      <w:r>
        <w:t>IT: VD_FINDINFO AP / 2010 / 261 del 17 novembre 2010</w:t>
      </w:r>
    </w:p>
    <w:p>
      <w:pPr>
        <w:pStyle w:val="Heading2"/>
      </w:pPr>
      <w:r>
        <w:t>Regeste</w:t>
      </w:r>
    </w:p>
    <w:p>
      <w:r>
        <w:t>DÉPENS, SERVITUDE, TERRAIN À BÂTIR | 452 CPC, 456a CPC, 92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Il convient d'examiner tout d'abord le recours interjeté par E.________ et Y.________. Les recourantes ont conclu, dans leur recours, principalement à la réforme et subsidiairement à l’annulation du jugement. Dans leur mémoire, elles n’ont pas repris leurs conclusions en nullité ni développé de moyen de nullité de sorte que leur recours en nullité est irrecevable (Poudret/Haldy/Tappy, Procédure civile vaudoise, 3 ème éd., 2002, n. 2 ad art. 465 CPC, p. 722).</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la cour de céans étant à même de statuer en réforme.</w:t>
      </w:r>
    </w:p>
    <w:p>
      <w:r>
        <w:rPr>
          <w:b/>
        </w:rPr>
        <w:t>E. 4</w:t>
      </w:r>
    </w:p>
    <w:p>
      <w:r>
        <w:t>Le premier juge a considéré qu’un rez-de-chaussée était le niveau habitable le plus bas de l’immeuble, à savoir en l’espèce le premier de quatre niveaux habitables, de sorte que la servitude n’avait pas été respectée, puisqu’elle n’admettait qu’un étage sur rez et des combles. Pour les recourantes, une telle notion du rez-de-chaussée en tant que niveau habitable appartient au droit public et n’est pas déterminante pour interpréter le texte d’une servitude constituée alors que le droit public des constructions n’avait pas encore été élaboré; il faut selon elles plutôt considérer au sens courant que le rez est la partie d’une maison ou l’étage qui est situé au niveau du sol. Elles en déduisent que le rez correspond en l’espèce au deuxième niveau habitable, puisque c’est celui-ci qui « se trouve à la hauteur du terrain naturel » (mémoire, p. 5). On peut se demander si la notion de rez-de-chaussée utilisée dans le texte de la servitude ne comprenait pas tout étage habitable, peu important sa situation par rapport au terrain naturel. Iraient dans ce sens le fait que, comme l’indiquent les recourantes elles-mêmes, c’est par des servitudes qu’on cherchait à réglementer l’usage du sol avant l’adoption de règles de droit public et qu’en l’occurrence, le propriétaire du fonds dominant s’était assuré que 45 parcelles du quartier ne pourraient supporter que des bâtiments accueillant deux logements au maximum (jgt, p. 3) : il aurait alors entendu limiter la densification de l’habitat et, s’agissant de la servitude litigieuse, aurait visé tout niveau habitable, peu important sa situation par rapport au terrain naturel. La question peut toutefois demeurer indécise, puisque, même si on se place du point de vue des recourantes, ce qui devrait être le rez de l’un à tout le moins des bâtiments projetés ne se trouve pas au niveau du sol. On voit en effet sur le plan « Elévation Sud-Est » (jgt, p. 4bis, pièces 12 et 101) que, s’agissant du bâtiment sis à l’est de la parcelle, le deuxième niveau habitable est situé au-dessus du terrain naturel, ce qui est aussi très partiellement le cas pour le bâtiment sis à l’ouest. Peu importe que, dans le cadre de l’application de la réglementation communale en matière de police des constructions, il ait été admis de retenir une « cote moyenne de la portion de terrain naturel occupé par la construction » correspondant au plancher du deuxième niveau habitable (arrêt du Tribunal administratif du 27 juillet 2009 dans la cause AC.2009.0028 produit par les recourantes à l’audience du 23 février 2010 c. 2d, p. 5) : si on se place comme le veulent les recourantes d’un point de vue du langage courant, ce n’est pas ladite valeur qui est déterminante mais la position effective du niveau en cause par rapport au sol. Or, comme indiqué ci-dessus, l’un au moins des bâtiments en cause voit son deuxième niveau habitable placé au-dessus du niveau du terrain naturel. Cela étant, même si on fait abstraction de la notion de premier niveau habitable pour s’en tenir au sens courant, qui fait référence au niveau du sol, on ne peut pas considérer qu’on se trouve en présence d’un rez-de-chaussée. La construction envisagée ne respecte ainsi pas la servitude litigieuse. A cela s’ajoute que, contrairement à ce que soutiennent les recourantes, les attiques projetées ne correspondent pas à des combles, ceux-ci étant seuls prévus par la servitude, à l’exclusion d’un étage supplémentaire. Selon la jurisprudence, pour que l'espace sous la toiture soit qualifié de combles, la hauteur du mur d'embouchature, sur lequel la structure de la toiture prend appui, doit être inférieure à 1 m, sous réserve de dispositions contraires du règlement communal (cf. RDAF 1999 I 116 et les références citées; AC 2008.0089 du 3 novembre 2008, c. 2a ; AC.2006.0126 du 19 mars 2007; AC.2002.0130 du 27 novembre 2002; AC 1999.0105 du 28 décembre 2000). Or en l’espèce, le toit plat des bâtiments projetés prend appui sur un mur dont la hauteur est manifestement supérieure à un mètre. Ce ne sont donc pas des combles que les recourantes projettent de bâtir mais un étage à part entière, ce que la servitude n’autorise pas. Les recourantes plaident au surplus en vain que la servitude litigieuse aurait perdu toute utilité, ayant été en quelque sorte remplacée par des dispositions de droit public. Une telle argumentation relève d’une action en radiation (art. 736 CC) mais ne permet pas de faire abstraction de la servitude existante. Le recours d'E.________ et Y.________ est mal fondé et doit être rejeté.</w:t>
      </w:r>
    </w:p>
    <w:p>
      <w:r>
        <w:rPr>
          <w:b/>
        </w:rPr>
        <w:t>E. 5</w:t>
      </w:r>
    </w:p>
    <w:p>
      <w:r>
        <w:t>Il reste à examiner le recours de Q.________ qui porte sur les dépens.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le recourant se plaint à juste titre du montant qui lui a été alloué à titre de dépens (3'700 fr.). Comme il l’a exposé dans son mémoire (p. 4), l’application du TAv conduit à lui reconnaître un droit à des dépens situés entre 3'000 et 22'500 francs. La valeur litigieuse correspond d’une part à son intérêt à ce que la construction litigieuse ne viole pas la servitude, et d’autre part au montant de 80'000 francs des conclusions reconventionnelles retirées par les défenderesses à l’audience préliminaire. Si l’objet du litige est clairement circonscrit, la superposition des règles de droit privé et public applicables à la construction litigieuse permet d’attribuer à la cause une complexité moyenne. Obtenant entièrement gain de cause, le demandeur a droit à de pleins dépens en remboursement de ses frais de justice et à titre de participation aux honoraires et débours de son conseil. Au vu des opérations accomplies par son conseil (notamment la rédaction d'une demande de 10 pages, d'une requête de mesures provisionnelles de 8 pages, d'une convention de mesures provisionnelles et la participation à l'audience préliminaire), des difficultés de la cause et de la valeur litigieuse, il convient d'accorder au demandeur la somme de 6'000 fr., à titre de participation aux honoraires et débours de son conseil. Conformément à l'art. 3 al. 2 TAv, ce montant comprend les correspondances, conférences et autres opérations accessoires. Dans ces conditions, il y a lieu d'allouer au demandeur le montant de 7'700 fr. à titre de dépens de première instance, soit 1'700 fr. en remboursement de ses frais de justice et 6'000 francs à titre de participation aux honoraires et débours de son conseil. Le recours doit être admis sur ce point et le jugement réformé en ce sens.</w:t>
      </w:r>
    </w:p>
    <w:p>
      <w:r>
        <w:rPr>
          <w:b/>
        </w:rPr>
        <w:t>E. 6</w:t>
      </w:r>
    </w:p>
    <w:p>
      <w:r>
        <w:t>En conclusion, le recours d'E.________ et Y.________ est rejeté. Le recours de Q.________ est partiellement admis. Le jugement est réformé au chiffre V de son dispositif en ce sens que E.________ et Y.________, solidairement entre elles, doivent verser à Q.________ la somme de 7'700 fr. à titre de dépens. Les frais de deuxième instance d'E.________ et Y.________, solidairement entre elles, sont arrêtés à 1'100 francs. Les frais de deuxième instance de Q.________ sont arrêtés à 400 francs. E.________ et Y.________, solidairement entre elles, doivent  verser à Q.________, qui obtient entièrement gain de cause, excepté en ce qui concerne la quotité des dépens réclamés (art. 92 al. 1 CPC), la somme de 2'400 fr. à titre de dépens de deuxième instance. Par ces motifs, la Chambre des recours du Tribunal cantonal, statuant en audience publique, prononce : I. Le recours d'E.________ et Y.________ est rejeté. II. Le recours de Q.________ est partiellement admis. III. Le jugement est réformé au chiffre V de son dispositif comme il suit: V. dit que E.________ et Y.________, solidairement entre elles, doivent verser à Q.________ la somme de 7'700 fr. (sept mille sept cents francs) à titre de dépens. Le jugement est confirmé pour le surplus. IV. Les frais de deuxième instance d'E.________ et Y.________, solidairement entre elles, sont arrêtés à 1'100 fr. (mille cent francs). V. Les frais de deuxième instance de Q.________ sont arrêtés à 400 fr. (quatre cents francs). VI. E.________ et Y.________, solidairement entre elles, doivent verser à Q.________ la somme de 2'400 fr. (deux mille quatre cents francs) à titre de dépens de deuxième instance. VII. L'arrêt motivé est exécutoire Le président :               La greffière : Du 17 novembre 2010 Le dispositif de l'arrêt qui précède est communiqué par écrit aux intéressés. La greffière : Du L'arrêt qui précède, dont la rédaction a été approuvée à huis clos, est notifié en expédition complète, par l'envoi de photocopies à : ‑ Me Henri Baudraz (pour E.________ et Y.________), ‑ Me Jean-Marc Reymond (pour Q.________). La Chambre des recours considère que la valeur litigieuse est de 80'000 fr. pour le recours d'E.________ et Y.________ et de 25'000  fr. pour le recours  de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