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258 vom 25. Juni 2010</w:t>
      </w:r>
    </w:p>
    <w:p>
      <w:r>
        <w:t>VD Tribunal cantonal, 2010-06-25, FR</w:t>
      </w:r>
    </w:p>
    <w:p>
      <w:r>
        <w:rPr>
          <w:b/>
        </w:rPr>
        <w:t xml:space="preserve">Quelle: </w:t>
      </w:r>
      <w:r>
        <w:t>https://mcp.opencaselaw.ch/entscheid/vd_findinfo_AP___2010___258</w:t>
      </w:r>
    </w:p>
    <w:p>
      <w:r>
        <w:t>FR: VD_FINDINFO AP / 2010 / 258 du 25 juin 2010</w:t>
      </w:r>
    </w:p>
    <w:p>
      <w:r>
        <w:t>IT: VD_FINDINFO AP / 2010 / 258 del 25 giugno 2010</w:t>
      </w:r>
    </w:p>
    <w:p>
      <w:pPr>
        <w:pStyle w:val="Heading2"/>
      </w:pPr>
      <w:r>
        <w:t>Regeste</w:t>
      </w:r>
    </w:p>
    <w:p>
      <w:r>
        <w:t>FIXATION DE LA PEINE, ESCROQUERIE | 146 CP, 47 CP</w:t>
      </w:r>
    </w:p>
    <w:p>
      <w:pPr>
        <w:pStyle w:val="Heading2"/>
      </w:pPr>
      <w:r>
        <w:t>Erwägungen</w:t>
      </w:r>
    </w:p>
    <w:p>
      <w:r>
        <w:rPr>
          <w:b/>
        </w:rPr>
        <w:t>E. 1</w:t>
      </w:r>
    </w:p>
    <w:p>
      <w:r>
        <w:t>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 delà des conclusions du recourant (art. 447 al. 2 CPP).</w:t>
      </w:r>
    </w:p>
    <w:p>
      <w:r>
        <w:rPr>
          <w:b/>
        </w:rPr>
        <w:t>E. 2</w:t>
      </w:r>
    </w:p>
    <w:p>
      <w:r>
        <w:t>Le recourant conteste avoir fait preuve d'un comportement astucieux au sens de l'art. 146 CP (Code pénal suisse du 21 décembre 1937, RS 311.0).</w:t>
      </w:r>
    </w:p>
    <w:p>
      <w:r>
        <w:rPr>
          <w:b/>
        </w:rPr>
        <w:t>E. 2.1</w:t>
      </w:r>
    </w:p>
    <w:p>
      <w:r>
        <w:t>Selon l'art. 146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Selon la jurisprudence, la tromperie est astucieuse lorsque l'auteur recourt à un édifice de mensonges, à des manoeuvres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128 IV 18 c. 3a). Il convient, dans certains cas, de prendre en considération une coresponsabilité de la dupe (ATF 128 IV 18, précité, c. 3a). En effet, le juge pénal n'a pas à accorder sa protection à celui qui est tombé dans un piège qu'un peu d'attention et de réflexion lui aurait permis d'éviter (TF 6B_257/2010 du 5 octobre 2010 c. 3.2) L'erreur créée ou confortée par la tromperie doit motiver l'acte (ATF 119 IV 210 c. 3d). L'escroquerie ne sera consommée que s'il y a un dommage. Si le plan élaboré par l'auteur était objectivement astucieux et que la tromperie échoue parce que la victime était plus attentive ou plus avisée que l'auteur ne se l'était figuré ou en raison du hasard ou d'une autre circonstance non prévisible, il y a lieu de retenir une tentative de tromperie astucieuse (TF 6B_257/2010 du 5 octobre 2010, précité, c. 3.2 et les références citées). Sur le plan subjectif, l'escroquerie est une infraction intentionnelle, l'intention devant porter sur tous les éléments constitutifs de l'infraction. Elle suppose, en outre, un dessein d'enrichissement illégitime. L'auteur doit avoir l'intention de s'enrichir ou d'enrichir un tiers de l'élément patrimonial qui est soustrait à la victime. Il est déterminant que l'enrichissement ne provienne pas d'un autre patrimoine que celui de la victime (TF 6B_257/2010 du 5 octobre 2010, précité, c. 3.2 et les références citées).</w:t>
      </w:r>
    </w:p>
    <w:p>
      <w:r>
        <w:rPr>
          <w:b/>
        </w:rPr>
        <w:t>E. 2.2</w:t>
      </w:r>
    </w:p>
    <w:p>
      <w:r>
        <w:t>Dans le cas présent, aucun élément ne permet de considérer que O.________ a conclu un contrat avec Z.________ en ayant d'emblée l'intention de ne pas honorer ses obligations, à savoir, remettre la moto à l'acheteur une fois celle-ci payée. Il résulte en outre de l'état de fait que O.________ n'a procédé à aucune mise en scène ou édifice de mensonges propre à induire l'acheteur en erreur. La situation était peu claire; la moto avait été commandée par le garage pour le recourant. Comme elle ne lui convenait pas, il avait été convenu que O.________ la vende et encaisse le prix de vente pour le compte du garage, ce qui permettait au prénommé de pouvoir en commander une autre. Le recourant a ensuite encaissé et conservé des acomptes versés par Z.________ sans délivrer de quittances à ce dernier. Il n'y a là ni manœuvre frauduleuse, ni mensonge. La situation eût été toutefois différente si l'acheteur avait demandé la remise de quittances et si le recourant l'en avait dissuadé. Les premiers juges ont également considéré que O.________ avait fait preuve d'un comportement astucieux en prétextant à deux reprises que le véhicule n'était pas encore prêt à être livré alors que le plaignant en avait acquitté le prix. En admettant que Z.________ s'était acquitté de l'intégralité du prix de vente, il apparaît que les mensonges de O.________ n'ont pas déterminé la victime à des actes préjudiciables à ses intérêts pécuniaires, le paiement ayant déjà été effectué. Au demeurant, ces mensonges étaient aisément décelables; une simple visite de la victime au patron du garage lui eû permis de se rendre compte de la véracité des dires de O.________. A cet égard, il sied de relever que selon Corboz (Les infractions en droit suisse, vol. I,</w:t>
      </w:r>
    </w:p>
    <w:p>
      <w:r>
        <w:rPr>
          <w:b/>
        </w:rPr>
        <w:t>E. 3</w:t>
      </w:r>
    </w:p>
    <w:p>
      <w:r>
        <w:t>Compte tenu de l'admission du moyen de réforme de O.________ et de l'abandon d'un chef d'accusation, il appartient à la cour de céans de fixer à nouveau la peine (art. 448 al. 1 CPP), en faisant abstraction des éléments d'appréciation évoqués par les premiers juges, dans la mesure où ils présentent un lien avec l'infraction d'escroquerie initialement retenue à la charge du prénommé.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w:t>
      </w:r>
    </w:p>
    <w:p>
      <w:r>
        <w:rPr>
          <w:b/>
        </w:rPr>
        <w:t>E. 3.2</w:t>
      </w:r>
    </w:p>
    <w:p>
      <w:r>
        <w:t>O.________ a finalement été reconnu coupable d'abus de confiance. La cour de céans relève que la culpabilité du recourant est lourde. Au moment de fixer la peine, les premiers juges ont souligné que O.________ avait abusé de la confiance de son employeur. Ils ont aussi relevé son attitude détestable ainsi que ses antécédents, le prénommé ayant déjà commis des détournements semblables au préjudice d'autres sociétés dans des circonstances similaires. A décharge, le tribunal a retenu que l'intéressé était père d'un enfant de cinq ans et qu'il exerçait son droit de visite de façon régulière. Compte tenu des éléments mentionnés ci-dessus et de l'abandon de l'infraction d'escroquerie, la cour de céans considère qu'une peine de quatre mois sanctionne adéquatement la faute de O.________.</w:t>
      </w:r>
    </w:p>
    <w:p>
      <w:r>
        <w:rPr>
          <w:b/>
        </w:rPr>
        <w:t>E. 3.3</w:t>
      </w:r>
    </w:p>
    <w:p>
      <w:r>
        <w:t>Le recourant critique enfin le genre de la peine. Il demande qu'une peine pécuniaire soit prononcée à son encontre en lieu et place de la peine privative de liberté. En l'absence d'accord de O.________, l'exécution d'une peine de travail d'intérêt général ne sera pas examinée. En préambule, la cour de céans précise que ni le refus du sursis à la peine à prononcer, ni la révocation du sursis à la peine privative de liberté de quatre mois infligée à l'intéressé le 1 er novembre 2004 par le Tribunal correctionnel de Lausanne ne sont contestés. Il sied encore de mentionner qu'au vu de l'admission du moyen de réforme du recourant et de la fixation de la peine à quatre mois, l'art. 41 CP trouve application. A teneur de cette disposition, une peine privative de liberté ferme de moins de six mois ne peut être prononcée que si les conditions du sursis à l'exécution de la peine (art. 42 CP) ne sont pas réunies et s'il y a lieu d'admettre que ni une peine pécuniaire ni un travail d'intérêt général ne peuvent être exécutés. Dans le cas présent, les éléments suivants revêtent une certaine importance quant au choix de la peine : les lourds antécédents du recourant, les infractions récurrentes commises par l'intéressé dans le même domaine d'infraction ainsi que le fait qu'il a trahi la confiance placée en lui et nié les faits. Il doit être déduit du fait que O.________ se voit aujourd’hui condamné pour la sixième fois pénalement que celui-ci demeure fortement exposé à la délinquance. Il n’y aurait pas de sens de prononcer une peine pécuniaire en l’espèce dès lors que, précédemment, des peines d’emprisonnement fermes n’ont pas dissuadé l’intéressé de réitérer dans le même domaine d’infraction. Il est ainsi absurde de considérer qu’en infligeant une peine moins lourde aujourd’hui, on aurait plus de succès là où le prononcé de peines plus dissuasives a échoué. Partant, l'efficacité de la sanction dans l'optique de la prévention exige une peine privative de liberté plutôt qu'une peine pécuniaire. Une fois rappelé qu'une peine sous forme de jours-amende serait, au vu de l’ensemble de ces circonstances, clairement inopportune, il convient de préciser que le critère de l’efficacité de la peine ne paraît utilisable que pour les peines de six à douze mois, l’art. 41 CP ne laissant pas de place à un tel raisonnement. Cependant, vu l'impécuniosité du recourant (jgt., pp. 4 et 5), à l'origine des infractions qu'il a commises, une peine pécuniaire semble d'emblée vouée à l'échec, si bien que le prononcé d'une courte peine privative de liberté se justifie en l'espèce, les conditions de l'octroi du sursis n'étant par ailleurs pas réalisées (art. 42 al. 1 CP). Partant, les conditions posées par l’art. 41 CP sont remplies, de sorte que la peine infligée au recourant sera une peine privative de liberté. Mal fondé, le moyen doit être rejeté.</w:t>
      </w:r>
    </w:p>
    <w:p>
      <w:r>
        <w:rPr>
          <w:b/>
        </w:rPr>
        <w:t>E. 4</w:t>
      </w:r>
    </w:p>
    <w:p>
      <w:r>
        <w:t>Vu l'admission des moyens de réforme, il n'y a pas lieu d'examiner les moyens de nullité soulevés par O.________, devenus sans objet. III. En définitive, le recours doit être partiellement admis et le jugement réformé dans le sens des considérants. Vu l'issue du recours, les frais de deuxième instance, y compris l'indemnité allouée à son défenseur d'office par 500 fr., sont mis par moitié à la charge du recourant, le solde restant à la charge de l'Etat (art. 450 al. 2 CPP). Le remboursement à l'Etat de l'indemnité allouée à son défenseur d'office sera exigible pour autant que la situation économique de O.________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