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2010 / 254 vom 29. Oktober 2009</w:t>
      </w:r>
    </w:p>
    <w:p>
      <w:r>
        <w:t>VD Tribunal cantonal, 2009-10-29, FR</w:t>
      </w:r>
    </w:p>
    <w:p>
      <w:r>
        <w:rPr>
          <w:b/>
        </w:rPr>
        <w:t xml:space="preserve">Quelle: </w:t>
      </w:r>
      <w:r>
        <w:t>https://mcp.opencaselaw.ch/entscheid/vd_findinfo_AP___2010___254</w:t>
      </w:r>
    </w:p>
    <w:p>
      <w:r>
        <w:t>FR: VD_FINDINFO AP / 2010 / 254 du 29 octobre 2009</w:t>
      </w:r>
    </w:p>
    <w:p>
      <w:r>
        <w:t>IT: VD_FINDINFO AP / 2010 / 254 del 29 ottobre 2009</w:t>
      </w:r>
    </w:p>
    <w:p>
      <w:pPr>
        <w:pStyle w:val="Heading2"/>
      </w:pPr>
      <w:r>
        <w:t>Regeste</w:t>
      </w:r>
    </w:p>
    <w:p>
      <w:r>
        <w:t>TRIBUNAL FÉDÉRAL, DÉCISION DE RENVOI, FIXATION DE LA PEINE, PEINE PRIVATIVE DE LIBERTÉ, FRAIS JUDICIAIRES, ADMISSION PARTIELLE, PEINE, DROIT PÉNAL | 107 al. 2 LTF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 conclut en outre à ce que la totalité des frais de deuxième instance soit laissée à la charge de l’Etat. Toutefois, vu la mesure dans laquelle elle a obtenu gain de cause, les frais de deuxième instance, y compris l'indemnité allouée à son défenseur d'office, seront mis à raison de la moitié à la charge de l’intéressée, le solde restant à la charge de l'Etat (art. 450 al. 2 CPP). Le remboursement à l'Etat de l'indemnité due au défenseur d'office de la recourante sera exigible pour autant que la situation économique de cette dernière se soit améliorée (ATF 135 I 91 c. 2.4, spéc. 2.4.3).</w:t>
      </w:r>
    </w:p>
    <w:p>
      <w:r>
        <w:rPr>
          <w:b/>
        </w:rPr>
        <w:t>E. 4</w:t>
      </w:r>
    </w:p>
    <w:p>
      <w:r>
        <w:t>En définitive, le recours doit être partiellement admis et le jugement attaqué réformé dans le sens des considérants.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