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252 vom 29. August 2008</w:t>
      </w:r>
    </w:p>
    <w:p>
      <w:r>
        <w:t>VD Tribunal cantonal, 2008-08-29, FR</w:t>
      </w:r>
    </w:p>
    <w:p>
      <w:r>
        <w:rPr>
          <w:b/>
        </w:rPr>
        <w:t xml:space="preserve">Quelle: </w:t>
      </w:r>
      <w:r>
        <w:t>https://mcp.opencaselaw.ch/entscheid/vd_findinfo_AP___2010___252</w:t>
      </w:r>
    </w:p>
    <w:p>
      <w:r>
        <w:t>FR: VD_FINDINFO AP / 2010 / 252 du 29 août 2008</w:t>
      </w:r>
    </w:p>
    <w:p>
      <w:r>
        <w:t>IT: VD_FINDINFO AP / 2010 / 252 del 29 agosto 2008</w:t>
      </w:r>
    </w:p>
    <w:p>
      <w:pPr>
        <w:pStyle w:val="Heading2"/>
      </w:pPr>
      <w:r>
        <w:t>Regeste</w:t>
      </w:r>
    </w:p>
    <w:p>
      <w:r>
        <w:t>PEINE PÉCUNIAIRE | 34 al. 2 CP</w:t>
      </w:r>
    </w:p>
    <w:p>
      <w:pPr>
        <w:pStyle w:val="Heading2"/>
      </w:pPr>
      <w:r>
        <w:t>Erwägungen</w:t>
      </w:r>
    </w:p>
    <w:p>
      <w:r>
        <w:rPr>
          <w:b/>
        </w:rPr>
        <w:t>E. 1</w:t>
      </w:r>
    </w:p>
    <w:p>
      <w:r>
        <w:t>Selon les art. 39 al. 1 CP (Code pénal suisse du 21 décembre 1937, RS 311.0) ainsi que l’art. 28 al. 2 let. a LEP (Loi vaudoise sur l’exécution des condamnations pénales du 4 juillet 2006 ; RSV 340.01), le Juge d’application des peines est compétent pour statuer sur la conversion, en une peine pécuniaire ou en une peine privative de liberté, d’un travail d’intérêt général en cas de non respect des modalités fixées en vue de son exécution.</w:t>
      </w:r>
    </w:p>
    <w:p>
      <w:r>
        <w:rPr>
          <w:b/>
        </w:rPr>
        <w:t>E. 1.1</w:t>
      </w:r>
    </w:p>
    <w:p>
      <w:r>
        <w:t>En vertu de l’art. 38 al. 1 LEP, sa décision peut faire l’objet d’un recours auprès de la Cour de cassation. Aux termes de l’art. 39 LEP, la procédure applicable devant la Cour de cassation est celle régie par les art. 485m et suivants CPP (Code de procédure pénale du 12 septembre 1967, RSV 312.01). Le recours s’exerce par écrit dans les dix jours dès la notification de la décision attaquée (art. 485n al. 1 CPP). L’acte de recours doit être signé et indiquer les conclusions et motifs du recours (art. 485n al. 3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Mentionnant expressément ne pas remettre en cause le principe de la conversion et le nombre de jours-amende, le recourant reproche au premier juge d’avoir fixé le montant des jours-amende sans pondérer suffisamment son revenu net journalier. Selon lui, un montant de 70 fr. serait excessif.</w:t>
      </w:r>
    </w:p>
    <w:p>
      <w:r>
        <w:rPr>
          <w:b/>
        </w:rPr>
        <w:t>E. 2.1</w:t>
      </w:r>
    </w:p>
    <w:p>
      <w:r>
        <w:t>Aux termes de l'art. 39 al. 1 CP (Code pénal suisse du 21 décembre 1937, RS 311.0), le juge convertit le travail d'intérêt général en une peine pécuniaire ou en une peine privative de liberté dans la mesure où, malgré un avertissement, le condamné ne l'exécute pas conformément au jugement ou aux conditions et charges fixées par l'autorité compétente. Selon l’al. 2 de cette même disposition, quatre heures de travail d’intérêt général correspondent à un jour-amende ou à un jour de peine privative de liberté. La peine pécuniaire est régie par l'art. 34 CP. Le juge est tenu de fixer le montant du jour-amende selon la situation personnelle et économique de l'auteur, en tenant compte tant de son revenu que de sa fortune, de son mode de vie, de ses obligations d'assistance, ainsi que de son minimum vital (art. 34 al. 2 CP).</w:t>
      </w:r>
    </w:p>
    <w:p>
      <w:r>
        <w:rPr>
          <w:b/>
        </w:rPr>
        <w:t>E. 2.2</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(TF 6B_845/2009 du 11 janvier 2010 c. 1.1.1).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précité, c. 1.1.5).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(TF 6B_769/2008 du 18 juin 2009 c. 1.1).</w:t>
      </w:r>
    </w:p>
    <w:p>
      <w:r>
        <w:rPr>
          <w:b/>
        </w:rPr>
        <w:t>E. 2.3</w:t>
      </w:r>
    </w:p>
    <w:p>
      <w:r>
        <w:t>Dans le cas particulier, les calculs effectués par le premier juge sont corrects et il convient d'admettre que le revenu disponible de l'intéressé s'élève à 2'400 fr. par mois, soit 80 fr. par jour (2'400 / 30 = 80). Quant à son minimum vital, il se monte à 2'300 fr. par mois. Conformément à la jurisprudence précitée, le minimum vital n'a qu'une fonction corrective pour les condamnés qui vivent en dessous ou au seuil de ce minimum, ce qui n'est pas le cas du recourant. Si le revenu journalier moyen net constitue par conséquent le critère déterminant pour la fixation du montant du jour-amende, il y a cependant lieu de procéder à une réduction, compte tenu des ressources de l'intéressé, qui se situe relativement près du minimum vital. Au regard de l'ensemble de ces éléments, le premier juge a violé le droit fédéral en arrêtant le montant du jour-amende à 70 fr., opérant ainsi une réduction d'un huitième seulement. En l'espèce, il apparaît qu'une réduction plus importante s'impose et qu'un montant de 50 fr. par jour-amende correspond à la situation financière concrète de C.________.</w:t>
      </w:r>
    </w:p>
    <w:p>
      <w:r>
        <w:rPr>
          <w:b/>
        </w:rPr>
        <w:t>E. 3</w:t>
      </w:r>
    </w:p>
    <w:p>
      <w:r>
        <w:t>En définitive, le recours doit être partiellement admis et le prononcé réformé en ce sens que le solde de la peine de travail d'intérêt général restant à exécuter par le condamné est converti en 66 jours-amende, le montant du jour‑amende étant fixé à 50 fr. Le prononcé est maintenu pour le surplus.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