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25 vom 13. Januar 2010</w:t>
      </w:r>
    </w:p>
    <w:p>
      <w:r>
        <w:t>VD Tribunal cantonal, 2010-01-13, FR</w:t>
      </w:r>
    </w:p>
    <w:p>
      <w:r>
        <w:rPr>
          <w:b/>
        </w:rPr>
        <w:t xml:space="preserve">Quelle: </w:t>
      </w:r>
      <w:r>
        <w:t>https://mcp.opencaselaw.ch/entscheid/vd_findinfo_AP___2010___25</w:t>
      </w:r>
    </w:p>
    <w:p>
      <w:r>
        <w:t>FR: VD_FINDINFO AP / 2010 / 25 du 13 janvier 2010</w:t>
      </w:r>
    </w:p>
    <w:p>
      <w:r>
        <w:t>IT: VD_FINDINFO AP / 2010 / 25 del 13 gennaio 2010</w:t>
      </w:r>
    </w:p>
    <w:p>
      <w:pPr>
        <w:pStyle w:val="Heading2"/>
      </w:pPr>
      <w:r>
        <w:t>Regeste</w:t>
      </w:r>
    </w:p>
    <w:p>
      <w:r>
        <w:t>EXCEPTION{MOYEN DE DÉFENSE}, TRANSACTION JUDICIAIRE, CONCLUSIONS | 139 let. b CPC, 17 CPC, 265 al. 1 CPC, 265 al. 2 CPC, 265 CPC</w:t>
      </w:r>
    </w:p>
    <w:p>
      <w:pPr>
        <w:pStyle w:val="Heading2"/>
      </w:pPr>
      <w:r>
        <w:t>Erwägungen</w:t>
      </w:r>
    </w:p>
    <w:p>
      <w:r>
        <w:rPr>
          <w:b/>
        </w:rPr>
        <w:t>E. 1</w:t>
      </w:r>
    </w:p>
    <w:p>
      <w:r>
        <w:t>Il convient tout d'abord d'examiner la recevabilité matérielle du recours. La clarté et la précision des conclusions sont une condition nécessaire pour que le juge puisse statuer sur la contestation. Une irrégularité à cet égard affecte l'instance comme telle et non simplement l'un des actes particuliers de l'instruction. Il s'agit donc d'une condition du procès dont le défaut permet de soulever une exception de procédure (Claude Bonnard, Les moyens de fond et l'exception de procédure en droit vaudois. Etude de jurisprudence et recherche d'un système, in JT 1955 III 33-80). Se ralliant à cette opinion et à celle des commentateurs (qui ont confirmé leur avis lors de la mise à jour de leur ouvrage : Poudret/Haldy/Tappy, Procédure civile vaudoise, 3 ème éd., 2002, n. 4 ad art. 265 CPC, p. 412), Rognon a admis que le moyen sanctionnant l'imprécision ou la contradiction des conclusions d'une partie doit être une exception de procédure (Les conclusions, Etude de droit fédéral et de procédure civile vaudoise, thèse Lausanne 1974, pp. 120/121) et rappelé qu'en conséquence, la notion d'incident en catégorisation des conclusions est abandonnée (ibidem, p. 119). Doit être qualifié de principal le jugement incident rendu par un président de tribunal d'arrondissement comme juge unique statuant sur une exception de procédure (JT 1989 III 2 et 66; Poudret/Haldy/Tappy, op. cit., n. 19 ad art. 444 CPC, p. 662 et n. 7 ad art. 451 CPC, p. 682). Le recours en nullité (art. 444 et 445 CPC) et le recours en réforme (art. 451 ch. 3 CPC) sont donc ouverts contre un tel jugement. Déposé en temps utile, le recours est partant recevable.</w:t>
      </w:r>
    </w:p>
    <w:p>
      <w:r>
        <w:rPr>
          <w:b/>
        </w:rPr>
        <w:t>E. 2</w:t>
      </w:r>
    </w:p>
    <w:p>
      <w:r>
        <w:t>En soulevant son exception de procédure, improprement décrite comme un "incident en catégorisation de conclusions", la recourante entendait faire préciser les conclusions de la demande. L'intimé a fait droit à cette requête en acceptant, par lettre du 2 juillet 2008, de retrancher de sa conclusion 1 au fond les termes «selon une liste qui sera remise à C.________ SA». La recourante s'est déclarée satisfaite par cette précision de la conclusion 1 au fond. L'objet de la procédure incidente destinée à statuer sur l'exception de procédure (cf. art. 142 al. 3 CPC) a donc été réglé par l'acceptation de l'intimé de retrancher un élément de la conclusion litigieuse. C'est donc à juste titre que le premier juge a considéré que la procédure incidente n'avait plus d'objet. En revanche, en l'absence d'un objet litigieux, le premier juge ne pouvait pas rejeter la requête incidente, mais seulement constater que la procédure incidente n'avait plus d'objet. Le jugement incident doit dès lors être réformé dans ce sens.</w:t>
      </w:r>
    </w:p>
    <w:p>
      <w:r>
        <w:rPr>
          <w:b/>
        </w:rPr>
        <w:t>E. 3</w:t>
      </w:r>
    </w:p>
    <w:p>
      <w:r>
        <w:t>Si le Tribunal cantonal est saisi d'un recours sur le fond ou sur l'adjudication des dépens, il est également compétent pour en revoir le montant (art. 94 al. 3 CPC). Il revoit la question en fait et en droit (art. 94 al. 4 CPC). a) En l'espèce, on ne saurait voir dans le retranchement du membre de phrase litigieux un passé-expédient au sens strict dans la mesure où cette institution porte sur l'action au fond (Poudret/Haldy/Tappy, op. cit., n. 1 ad art. 161 CPC, p. 292). Ce retranchement a en revanche rendu la procédure incidente sans objet. Lorsqu'une procédure incidente est devenue sans objet, le juge peut statuer sur les dépens en application de l'art. 92 CPC en se fondant sur la situation existant à cette date (JT 2006 III 87; Poudret/Haldy/Tappy, op. cit., n. 7.2 ad art. 92 CPC, pp. 177/178). Lorsque la partie intimée à une procédure a satisfait matériellement aux prétentions de sa partie adverse, elle peut être chargée des dépens (CREC, 29 mars 2006 no 153; JT 1997 III 77; JT 1994 III 18). Le retranchement du membre de phrase litigieux a permis à la recourante d'obtenir la précision d'une conclusion active prise par l'intimé et mis entièrement fin à la procédure incidente. La recourante a donc obtenu entièrement gain de cause, si bien qu'elle a droit à de pleins dépens (art. 92 al. 1 CPC) qu'il convient d'arrêter dans le présent arrêt. On peut observer que les parties ont été entendues dans l'instruction du recours au sujet du principe et de la quotité des dépens. b) Les dépens comprennent les frais de justice et une participation aux honoraires et déboursés d'avocat (cf. art. 91 let. a et c CPC). Selon l'art. 4 TFJC (tarif des frais judiciaires en matière civile; RSV 270.11.5), les frais sont en principe dus par chaque partie pour les opérations qu'elle requiert ou qui sont ordonnées pour l'examen de la cause (al. 1); est réservé le droit de la partie d'en obtenir le remboursement par sa partie adverse au titre de dépens (al. 2). La recourante ne saurait donc conclure que les frais de la procédure incidente sont mis à la charge de l'intimé (conclusion III du recours); en revanche, elle peut obtenir le remboursement de ses propres frais de justice, par 600 fr., dans le cadre des dépens (art. 91 let. a CPC), ainsi qu'une participation aux honoraires de son conseil par 900 francs. Les dépens de première instance doivent donc être arrêtés à 1'500 francs.</w:t>
      </w:r>
    </w:p>
    <w:p>
      <w:r>
        <w:rPr>
          <w:b/>
        </w:rPr>
        <w:t>E. 4</w:t>
      </w:r>
    </w:p>
    <w:p>
      <w:r>
        <w:t>Compte tenu de l'admission du recours en réforme, il n'y a pas lieu d'examiner le recours en nullité, qui est subsidiaire et à l'appui duquel la recourante n'a de toute manière développé séparément aucun moyen de nullité.</w:t>
      </w:r>
    </w:p>
    <w:p>
      <w:r>
        <w:rPr>
          <w:b/>
        </w:rPr>
        <w:t>E. 5</w:t>
      </w:r>
    </w:p>
    <w:p>
      <w:r>
        <w:t>En définitive, le recours doit être admis et le dispositif du jugement réformé en ce sens qu'il est constaté que la requête incidente n'a plus d'objet (I) et qu'il est dit que l'intimé doit à la requérante C.________ SA la somme de 1'500 fr. à titre de dépens pour la procédure incidente (IV), le chiffre II étant supprimé. Le jugement est confirmé pour le surplus, étant précisé que le dossier est renvoyé au président du Tribunal d'arrondissement de La Côte pour qu'il fixe un nouveau délai de réponse (art. 143 al. 2 et 269 CPC). Les frais de deuxième instance de la recourante sont arrêtés à 350 fr. (art. 232 TFJC). L'intimé doit verser à la recourante la somme de 1'050 fr. à titre de dépens de deuxième instance, qui comprend les frais de deuxième instance par 350 francs et une participation aux honoraires d'avocat par 700 francs. Par ces motifs, la Chambre des recours du Tribunal cantonal, statuant en audience publique, prononce : I. Le recours est admis. II. Le jugement est réformé aux chiffres I, II et IV de son dispositif comme suit : I.          Constate que la requête incidente n'a plus d'objet. II. Supprimé. IV.        Dit que l'intimé M.________ doit à la requérante C.________ SA la somme de 1'500 fr. (mille cinq cents francs) à titre de dépens de la procédure incidente. Le jugement est confirmé pour le surplus, étant précisé que le dossier est renvoyé au président du Tribunal d'arrondissement de La Côte pour qu'il fixe un nouveau délai de réponse. III. Les frais de deuxième instance de la recourante sont arrêtés à 350 fr. (trois cent cinquante francs). IV. L'intimé M.________ doit verser à la recourante C1.________ SA la somme de 1'050 fr. (mille cinquante francs) à titre de dépens de deuxième instance. V. L'arrêt motivé est exécutoire. L e président : L e greffi er : Du 13 janvier 2010 Le dispositif de l'arrêt qui précède est communiqué par écrit aux intéressés. L e greffi er : Du L'arrêt qui précède, dont la rédaction a été approuvée à huis clos, est notifié en expédition complète, par l'envoi de photocopies à : ‑      Me Charles Joye (pour C1.________ SA), ‑      Me Cédric Aguet (pour M.________). La Chambre des recours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