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245 vom 30. Juni 2010</w:t>
      </w:r>
    </w:p>
    <w:p>
      <w:r>
        <w:t>VD Tribunal cantonal, 2010-06-30, FR</w:t>
      </w:r>
    </w:p>
    <w:p>
      <w:r>
        <w:rPr>
          <w:b/>
        </w:rPr>
        <w:t xml:space="preserve">Quelle: </w:t>
      </w:r>
      <w:r>
        <w:t>https://mcp.opencaselaw.ch/entscheid/vd_findinfo_AP___2010___245</w:t>
      </w:r>
    </w:p>
    <w:p>
      <w:r>
        <w:t>FR: VD_FINDINFO AP / 2010 / 245 du 30 juin 2010</w:t>
      </w:r>
    </w:p>
    <w:p>
      <w:r>
        <w:t>IT: VD_FINDINFO AP / 2010 / 245 del 30 giugno 2010</w:t>
      </w:r>
    </w:p>
    <w:p>
      <w:pPr>
        <w:pStyle w:val="Heading2"/>
      </w:pPr>
      <w:r>
        <w:t>Regeste</w:t>
      </w:r>
    </w:p>
    <w:p>
      <w:r>
        <w:t>SURSIS À L'EXÉCUTION DE LA PEINE | 42 al. 2 CP, 415 CPP</w:t>
      </w:r>
    </w:p>
    <w:p>
      <w:pPr>
        <w:pStyle w:val="Heading2"/>
      </w:pPr>
      <w:r>
        <w:t>Erwägungen</w:t>
      </w:r>
    </w:p>
    <w:p>
      <w:r>
        <w:rPr>
          <w:b/>
        </w:rPr>
        <w:t>E. 1</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recourante conteste, outre le refus du sursis, tant le genre que la quotité de la peine. Il y a lieu de statuer sur le type de peine avant de déterminer son quantum et d'examiner les conditions du sursis.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3.2 En l’espèce, les premiers juges ont apprécié la culpabilité de la recourante sur la base d'éléments divers, exposés à satisfaction et auxquels il suffit dès lors de renvoyer. Ce faisant, le tribunal n’a pas tenu compte d’éléments étrangers à l’art. 47 CP. Ceux pris en compte sont complets et pertinents. Au surplus, aucun élément déterminant au regard de l'art. 47 CP n'a été omis, respectivement ne s'est vu conférer une portée excessive ou insuffisante. La peine prononcée se situe dans le cadre légal. Une peine privative de liberté de six mois ne paraît nullement arbitrairement sévère, même si l’on tient compte de l'affectation des sommes détournées, qui n'était pas somptuaire. En particulier, la recourante a agi quasiment dès son engagement temporaire, sans discontinuité durant une période de plusieurs mois incluant son engagement fixe ultérieur. Ce faisant, elle a utilisé un procédé informatique élaboré pour tromper la confiance de son employeur. Surtout, elle se trouvait en état de récidive spéciale, les détournements ayant commencé à être perpétrés sept semaines seulement après un premier jugement condamnant l'intéressée notamment pour des infractions contre le patrimoine; aussi bien, ni cette peine en elle-même ni les 43 jours de détention préventive subis n'ont-ils eu d'effet préventif. La peine ici prononcée est d'autant moins sévère que le tribunal correctionnel a expressément relevé avoir voulu en limiter la quotité pour permettre à l'accusée de la purger sous la forme d'arrêts domiciliaires si elle devait en remplir les conditions le moment venu. Le moyen déduit de la quotité de la peine doit dès lors être rejeté.</w:t>
      </w:r>
    </w:p>
    <w:p>
      <w:r>
        <w:rPr>
          <w:b/>
        </w:rPr>
        <w:t>E. 4</w:t>
      </w:r>
    </w:p>
    <w:p>
      <w:r>
        <w:t>La recourante conteste encore le genre de la peine.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TF 6B_576/2008 du 28 novembre 2008, BJP 2009, 3; TF 6B_109/2007 du 17 mars 2008 et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(ATF 134 IV 82, précité,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arrêt 6B_541/2007 du 13 mai 2008; ATF 134 IV 60, c. 4.3). b) En l’espèce, la recourante ne conclut pas au prononcé d'une peine pécuniaire en lieu et place de la peine privative de liberté. Bien plutôt, elle demande à être condamnée à une peine de travail d'intérêt général. La peine privative de liberté prononcée n'est pas de moins de six mois, mais de six mois; la doctrine considère néanmoins qu'une peine privative de liberté d'une telle durée est convertible (Viredaz, dans : Roth/Moreillon [éd.], Commentaire romand, Bâle 2009, n. 10 ad art. 37 CP, contra l'art. 37 al. 1 CP, a contrario). La durée de la peine prononcée, de 180 jours, représente 720 heures de travail d'intérêt général (cf. l'art. 39 al. 2 CP). L'exécution des longues peines de travail d'intérêt général, soit au-delà de 100 heures ou, en tout cas, de 200 heures posent de sérieux problèmes d'exécution, qui sont notoires. Il s'ensuit qu'une peine de travail d'intérêt général de 720 heures n'est pas concevable en pratique. En effet, la durée en question représentant 180 jours de travail à raison de quatre heures la journée (cf. l'art. 39 al. 2 CP), on ne voit guère comment un tel quantum pourrait être effectué dans le délai de deux ans prévu par l'art. 38 CP (cf., quant à la même problématique, Tribunal cantonal NE, 20 octobre 2009, rés dans : BJP 2010 p. 38). De surcroît, une activité aussi concentrée priverait de facto la recourante de la possibilité de retrouver du travail, ce qui ne pourrait qu'entraver sa resocialisation. Quoi qu'il en soit, la situation d'ensemble de la recourante comporte des facteurs défavorables malgré les incontestables éléments à décharge retenus. Il en va ainsi, en particulier, de l'énergie délictueuse dont elle a fait preuve sans discontinuer dans le dessein de s'enrichir, ce en étant en situation de récidive spéciale. Partant, l'efficacité de la sanction dans l'optique de la prévention exige de toute façon que les infractions soient réprimées par une sanction revêtant la forme d'une peine privative de liberté, comme en ont décidé à bon droit les premiers juges une peine de travail d'intérêt général étant manifestement insuffisante, à l'instar du reste d'une peine pécuniaire. La conclusion tendant au prononcé d'une peine de travail d'intérêt général doit donc être rejetée.</w:t>
      </w:r>
    </w:p>
    <w:p>
      <w:r>
        <w:rPr>
          <w:b/>
        </w:rPr>
        <w:t>E. 5</w:t>
      </w:r>
    </w:p>
    <w:p>
      <w:r>
        <w:t>La recourante demande enfin que la peine requise soit assortie du sursis. Cette conclusion doit, malgré son imprécision, être comprise comme incluant la peine privative de liberté.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Si le juge suspend totalement ou partiellement l’exécution d’une peine, il impartit au condamné un délai d’épreuve de deux à cinq ans (art. 44 al. 1 CP).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(Kuhn, dans : Roth/Moreillon [éd.], Commentaire romand, op. cit., n. 17 ad art. 42 CP). A cet égard, la prise de conscience de sa faute par l'auteur doit permettre d'augurer d'un changement d'attitude face à ses actes (TF 6B_171/2007 du 23 juillet 2007, c. 4, ). On relèvera enfin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 c) En l'espèce, la recourante avait, moins de cinq ans avant le prononcé du jugement entrepris, été condamnée à une peine de 180 jours. L'art. 42 al. 2 CP est donc applicable. Partant, la peine privative de liberté ne peut être assortie du sursis que dans l'hypothèse de circonstances particulièrement favorables. Malgré quelques éléments contraires, de telles circonstances sont globalement données. En effet, la recourante est professionnellement qualifiée. Elle est décrite par les représentants de la plaignante eux-mêmes comme généreuse et disponible; aussi bien a-t-elle, après son licenciement, effectué de nombreuses recherches d'emploi. De surcroît, elle a, lors des faits ici en cause, agi alors qu'elle était soumise à un stress professionnel important, devant occuper deux emplois pour un taux d'activité global représentant plus qu'un temps plein. A ces éléments s'ajoute la circonstance qu'elle devait faire face à des dettes, courantes ou en suspens, relatives à son entretien et à celui de ses enfants; de fait, l'argent détourné n'a pas été utilisé à des fins somptuaires. Enfin, l'accusée a immédiatement admis les faits incriminés et a manifesté quelques regrets, certes à l'audience seulement, signant une reconnaissance de dette en faveur de son ex-employeur. Dans leur ensemble, ces éléments témoignent d'une bonne socialisation, respectivement d'une aptitude à maintenir une telle socialisation dans l'avenir. Ils sont constitutifs de circonstances particulièrement favorables au sens de l'art. 42 al. 2 CP. Un pronostic favorable peut en être déduit, d'où le sursis. La durée du sursis doit être fixée au maximum légal. Il y a en revanche lieu de révoquer le sursis précédent (cf. l'art. 46 al. 1 CP) et d'ordonner l'exécution de la peine pécuniaire prononcée par le juge bâlois. La recourante succombant quant au principe de la punissabilité, il n'y a pas matière à suite de frais de première instance.</w:t>
      </w:r>
    </w:p>
    <w:p>
      <w:r>
        <w:rPr>
          <w:b/>
        </w:rPr>
        <w:t>E. 6</w:t>
      </w:r>
    </w:p>
    <w:p>
      <w:r>
        <w:t>Le recours doit donc être partiellement admis et le jugement réformé dans la mesure ci-dessus. Les frais de deuxième instance, y compris l'indemnité allouée au défenseur d'office de la recourante, par 500 fr.,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