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215 vom 2. Juli 2010</w:t>
      </w:r>
    </w:p>
    <w:p>
      <w:r>
        <w:t>VD Tribunal cantonal, 2010-07-02, FR</w:t>
      </w:r>
    </w:p>
    <w:p>
      <w:r>
        <w:rPr>
          <w:b/>
        </w:rPr>
        <w:t xml:space="preserve">Quelle: </w:t>
      </w:r>
      <w:r>
        <w:t>https://mcp.opencaselaw.ch/entscheid/vd_findinfo_AP___2010___215</w:t>
      </w:r>
    </w:p>
    <w:p>
      <w:r>
        <w:t>FR: VD_FINDINFO AP / 2010 / 215 du 2 juillet 2010</w:t>
      </w:r>
    </w:p>
    <w:p>
      <w:r>
        <w:t>IT: VD_FINDINFO AP / 2010 / 215 del 2 luglio 2010</w:t>
      </w:r>
    </w:p>
    <w:p>
      <w:pPr>
        <w:pStyle w:val="Heading2"/>
      </w:pPr>
      <w:r>
        <w:t>Regeste</w:t>
      </w:r>
    </w:p>
    <w:p>
      <w:r>
        <w:t>LOI FÉDÉRALE SUR LA CIRCULATION ROUTIÈRE, RESPONSABILITÉ DU DÉTENTEUR DE VÉHICULE, DOMMAGE MATÉRIEL | 451 ch. 3 CPC, 452 CPC, 61 al. 2 LCR</w:t>
      </w:r>
    </w:p>
    <w:p>
      <w:pPr>
        <w:pStyle w:val="Heading2"/>
      </w:pPr>
      <w:r>
        <w:t>Erwägungen</w:t>
      </w:r>
    </w:p>
    <w:p>
      <w:r>
        <w:rPr>
          <w:b/>
        </w:rPr>
        <w:t>E. 1</w:t>
      </w:r>
    </w:p>
    <w:p>
      <w:r>
        <w:t>Le recours dirigé contre un jugement du Président du Tribunal d’arrondissement rendu en procédure accélérée est recevable, tant en réforme (art. 451 ch. 3 CPC) qu’en nullité (art. 444 et 445 CPC). Dans son acte de recours, le recourant n’a pris des conclusions qu’en réforme. Il convient dès lors d’examiner la cause uniquement sous cet angle.</w:t>
      </w:r>
    </w:p>
    <w:p>
      <w:r>
        <w:rPr>
          <w:b/>
        </w:rPr>
        <w:t>E. 2</w:t>
      </w:r>
    </w:p>
    <w:p>
      <w:r>
        <w:t>Les conclusions en réforme du recours sont recevables (art. 452 al. 1 CPC). Dans ce cadre, la Chambre des recours revoit librement la cause en fait et en droit (art. 452 al. 2 CPC). Elle peut donc corriger les constatations de fait du premier juge. Nonobstant l’absence de mémoire, la cour de céans doit contrôler d’office le bien-fondé de la décision attaquée, l’obligation d’énoncer les moyens ne valant pas pour le recours en réforme (Poudret/Haldy/Tappy, Procédure civile vaudoise, 3 ème éd., Lausanne 2002, n. 4 ad art. 470 CPC, p. 731 et la jurisprudence citée). Les parties ne peuvent articuler des faits nouveaux, sous réserve de ceux qui résultent du dossier et qui auraient dû être retenus ou de ceux pouvant résulter d’une instruction complémentaire selon l’art. 456a CPC (art. 452 al. 1 ter CPC). La Chambre des recours développe donc son raisonnement juridique sur la base de l’état de fait du jugement, après en avoir vérifié la conformité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Si l’on se réfère à l’acte de recours, le recourant soutient que le premier juge aurait procédé à une mauvaise application des art. 58 et 61 LCR ainsi que de l'art. 41 CO (Code des obligations du 30 mars 1911, RS 220) en ne retenant pas la responsabilité de C.________ dans l’accident du 24 juin 2006. En première instance, le recourant avait relevé qu’il avait été, lui, libéré pénalement de toute faute, ce qui n’était pas le cas de C.________, dont la police et le Préfet avaient reconnu une responsabilité dans l’accident. a) L'accident survenu le 24 juin 2006 résulte de la collision entre deux voitures automobiles conduites par leurs détenteurs, laquelle a causé des dommages matériels. L'art. 61 al. 2 LCR est par conséquent applicable au cas présent, puisqu'il règle la responsabilité des détenteurs de véhicules entre eux en présence d'un dommage matériel. Selon cette disposition, l’un des détenteurs ne répond envers l’autre des dommages matériels que si le lésé fournit la preuve que les dommages ont été causés par la faute ou l’incapacité passagère de discernement du détenteur intimé ou d’une personne dont il est responsable, ou encore par une défectuosité de son véhicule. Ainsi, la répartition des responsabilités doit se faire uniquement selon les fautes en présence, le détenteur lésé devant prouver la faute du détenteur lésant. De même que le lésant fautif qui veut faire endosser une part de responsabilité par le lésé doit prouver la faute concomitante de ce dernier; il n’y a aucune place pour une responsabilité causale en cas de dégâts matériels nonobstant certaines opinions de doctrine (Brehm, La responsabilité civile automobile, Berne 1999, nn. 690 à 695, pp. 271-272 et n. 721, p. 278). Le principe ressortant de l'art. 61 al. 2 LCR est que chaque détenteur supporte son dommage matériel. Un détenteur ne peut en exiger la réparation que s’il prouve une faute ou une autre circonstance fondant la responsabilité de l’autre détenteur (Werro, La responsabilité civile, Berne 2005, n. 1259, p. 320). En cas de faute des deux détenteurs, on applique par analogie les règles sur la rencontre de responsabilités aquiliennes. L’importance des fautes respectives détermine le partage des responsabilités (art. 43 al. 1er CO; Werro, op. cit., n. 1230, p. 314 et nn. 1258 à 1260, p. 320; Bussy/Rusconi, Code suisse de la circulation routière, 3 ème éd., Lausanne 1996, nn. 2.1 à 2.4 ad art. 61 LCR). En d'autres termes, lorsque plusieurs personnes, qui ne répondent l'une envers l'autre qu'en vertu d'une faute, se causent réciproquement un dommage, chacune supporte la part de son propre dommage et du dommage de l'autre correspondant au rôle joué par sa faute (Werro, op. cit., n. 1230, p. 314). b) En l’espèce, le rapport de police ne prouve rien, puisqu’il reproduit la version de chacun des protagonistes. Aucun témoin n’a pu être entendu sur l’enchaînement des événements. Quant à l’expertise d'G.________, elle ne permet pas non plus d’imputer une faute plutôt à l’un qu’à l’autre des détenteurs et conducteurs. Seule la condamnation préfectorale de C.________ et l’acquittement du recourant, s’agissant des règles de conduite, pourraient faire la différence. Toutefois, cette condamnation s’appuie uniquement sur l’admission de certains faits par C.________ et la contestation du tout par le recourant. Pour le reste, et s’agissant de la faute à l’origine de l’accident, le Préfet n’a pas confirmé que l’un ou l’autre en était à l’origine, puisque le prononcé du 21 septembre 2006 concernant l’intimé s’est fondé uniquement sur la concordance entre les aveux et le rapport de police et a retenu qu’il a “contourné un autre usager par la droite, fait un usage abusif des avertisseurs optiques et roulé à une distance insuffisante pour circuler en file” (pièce 101 du bordereau des pièces produites par les défendeurs). Cela ne suffit pas sur le plan civil, comme l’a rappelé à juste titre le premier juge, puisque la condamnation de l’intimé n’exclut pas l’hypothèse d’un dépassement par la droite du recourant, une queue de poisson et/ou un freinage intempestif devant la voiture de l’intimé (cf. rapport de police, pièce 1, p. 5, du bordereau des pièces produites par le demandeur). c) En conséquence, la décision du premier juge n’est pas critiquable et peut être confirmée par adoption de motifs (art. 471 al. 3 CPC).</w:t>
      </w:r>
    </w:p>
    <w:p>
      <w:r>
        <w:rPr>
          <w:b/>
        </w:rPr>
        <w:t>E. 4</w:t>
      </w:r>
    </w:p>
    <w:p>
      <w:r>
        <w:t>En conclusion, le recours doit être rejeté, en application de l’art. 465   al. 1 CPC, et le jugement confirmé. Les frais de deuxième instance du recourant sont arrêtés à 442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Q.________ sont arrêtés à 442 fr. (quatre cent quarante-deux francs). IV. L'arrêt motivé est exécutoire. Le président :               La greffière : Du 2 juillet 2010 Le dispositif de l'arrêt qui précède est communiqué par écrit aux intéressés. La greffière : Du L'arrêt qui précède, dont la rédaction a été approuvée à huis clos, est notifié en expédition complète, par l'envoi de photocopies, à : ‑ Me Hervé Crausaz, avocat (pour Q.________), ‑ Me Pierre Del Boca, avocat (pour C.________ et J.________). La Chambre des recours considère que la valeur litigieuse est de 14'290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