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210 vom 27. Januar 2010</w:t>
      </w:r>
    </w:p>
    <w:p>
      <w:r>
        <w:t>VD Tribunal cantonal, 2010-01-27, FR</w:t>
      </w:r>
    </w:p>
    <w:p>
      <w:r>
        <w:rPr>
          <w:b/>
        </w:rPr>
        <w:t xml:space="preserve">Quelle: </w:t>
      </w:r>
      <w:r>
        <w:t>https://mcp.opencaselaw.ch/entscheid/vd_findinfo_AP___2010___210</w:t>
      </w:r>
    </w:p>
    <w:p>
      <w:r>
        <w:t>FR: VD_FINDINFO AP / 2010 / 210 du 27 janvier 2010</w:t>
      </w:r>
    </w:p>
    <w:p>
      <w:r>
        <w:t>IT: VD_FINDINFO AP / 2010 / 210 del 27 gennaio 2010</w:t>
      </w:r>
    </w:p>
    <w:p>
      <w:pPr>
        <w:pStyle w:val="Heading2"/>
      </w:pPr>
      <w:r>
        <w:t>Regeste</w:t>
      </w:r>
    </w:p>
    <w:p>
      <w:r>
        <w:t>SERVITUDE FONCIÈRE, ACTION EN RECTIFICATION DU REGISTRE FONCIER, REGISTRE FONCIER, FOI PUBLIQUE | 736 al. 1 CC, 736 al. 2 CC, 736 CC</w:t>
      </w:r>
    </w:p>
    <w:p>
      <w:pPr>
        <w:pStyle w:val="Heading2"/>
      </w:pPr>
      <w:r>
        <w:t>Erwägungen</w:t>
      </w:r>
    </w:p>
    <w:p>
      <w:r>
        <w:rPr>
          <w:b/>
        </w:rPr>
        <w:t>E. 1</w:t>
      </w:r>
    </w:p>
    <w:p>
      <w:r>
        <w:t>Les art. 444, 445 et 451 ch. 3 CPC (Code de procédure civile du 14 décembre 1966; RSV 270.11) ouvrent la voie des recours en nullité et en réforme contre un jugement principal rendu par un président du Tribunal d'arrondissement. La partie intimée peut, même si elle avait renoncé à recourir, se joindre au recours pour demander la réforme du jugement au détriment du recourant principal; elle prend à cet effet des conclusions dans le mémoire de réponse (art. 466 al. 2 CPC). En l'espèce, déposés en temps utile, tant le recours principal que le recours par voie de jonction sont recevables en la forme.</w:t>
      </w:r>
    </w:p>
    <w:p>
      <w:r>
        <w:rPr>
          <w:b/>
        </w:rPr>
        <w:t>E. 2</w:t>
      </w:r>
    </w:p>
    <w:p>
      <w:r>
        <w:t>Le recourant principal a conclu à l'annulation du jugement en se plaignant d'une appréciation arbitraire des preuves (art. 444 al. 1 ch. 3 CPC). Le grief, qui est subsidiaire, peut être examiné dans le cadre du recours en réforme, compte tenu du pouvoir d'examen de la cour de céans (c.</w:t>
      </w:r>
    </w:p>
    <w:p>
      <w:r>
        <w:rPr>
          <w:b/>
        </w:rPr>
        <w:t>E. 3</w:t>
      </w:r>
    </w:p>
    <w:p>
      <w:r>
        <w:t>a) Les parties ne peuvent prendre des conclusions nouvelles ou plus amples ni soulever des exceptions nouvelles (art. 452 al. 1 CPC). Tel est le cas en l'espèce. En particulier, dans sa demande, la recourante par voie de jonction avait conclu principalement à la radiation de la servitude, subsidiairement à sa modification en ce sens qu'elle s'exercerait "jusqu'au droit de la parcelle no 18, longeant sur une largeur de 3,50 mètres les parcelles no 14 et 78". Si l'on se réfère au plan reproduit à la page 35 du jugement attaqué, on comprend que la recourante par voie de jonction entendait par l'expression "au droit" ne permettre au recourant principal que d'accéder à sa parcelle no 18 sur sa limite nord, à un endroit indéterminé puisque l'expression "au droit" est ici imprécise. Dans son recours joint, elle a conclu à titre très subsidiaire à ce que la servitude s'exerce jusqu'au "bout de la place d'évitement en baignoire". Il est question de cette place en pages 41 et 42 du jugement, qui la situe en limite nord de la parcelle no 18. La conclusion très subsidiaire de la recourante par voie de jonction ne correspond donc pas à une augmentation prohibée.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 La Chambre des recours peut ainsi examiner le recours principal et le recours par voie de jonction en développant son raisonnement juridique après avoir vérifié la conformité de l'état de fait du jugement aux preuves figurant au dossier et l'avoir, le cas échéant, corrigé ou complété au moyen de celles-ci (arrêts précités).</w:t>
      </w:r>
    </w:p>
    <w:p>
      <w:r>
        <w:rPr>
          <w:b/>
        </w:rPr>
        <w:t>E. 4</w:t>
      </w:r>
    </w:p>
    <w:p>
      <w:r>
        <w:t>a) Pour demander la radiation pure et simple de la servitude litigieuse, la recourante par voie de jonction ne peut pas se fonder sur la modification intervenue en 1932, puisque celle-ci n'a fait que réduire l'assiette de la servitude, en empêchant un passage sous le couvert de la fontaine, mais en maintenant un passage jusqu'à la borne no 22 (jgt p. 38) en longeant la limite nord de la parcelle no 18 (cf. plan produit par la recourante par voie de jonction à l'audience du 24 juin 2008). Elle ne peut pas non plus prétendre que cette servitude a perdu toute utilité pour son voisin, qui a aménagé dans la clôture correspondant à cette limite des ouvertures permettant l'accès à des véhicules, notamment pour livrer du bois : quand elle expose que le recourant principal peut accéder à sa propriété par le sud ou en passant par la parcelle no 78 propriété de son épouse, elle ne démontre pas qu'il ne lui est pas utile de parvenir plus commodément à sa parcelle directement par le nord. La conclusion en radiation de la servitude prise par la recourante par voie de jonction doit donc être rejetée. b) Selon l'art. 973 al. 1 CC, celui qui acquiert la propriété ou d'autres droits réels en se fondant de bonne foi sur une inscription du registre foncier, est maintenu dans son acquisition. Il découle de cette disposition que l'acquisition d'un droit réel par un tiers de bonne foi a notamment pour effet l'extinction des droits qui le grèvent mais qui n'ont pas été inscrits, alors qu'ils devaient l'être ou qu'ils ont été indûment radiés. L'acquisition ou la perte du droit par l'effet de la foi publique sont définitives. Peu importe que le tiers de bonne foi apprenne par la suite, par exemple qu'une servitude non inscrite grevait le fonds transféré. L'acquéreur a non domino peut disposer comme il l'entend du droit acquis, notamment en le transférant, même à un tiers qui connaît la véritable situation. En cas d'acquisition d'un droit réel par un acquéreur de bonne foi, le véritable titulaire est ainsi dépossédé (Deschenaux, Le registre foncier, Traité de droit privé suisse, vol. V, t. II,2 p. 644; Schmid, Basler Kommentar, n. 41 ad art. 973 CC, Homberger, Zürcher Kommentar, n. 22 ad art. 973 CC). La protection de l'acquéreur de bonne foi a ainsi pour corollaire que les droits des véritables titulaires s'éteignent dans la mesure où ils sont incompatibles avec ceux de l'acquéreur de bonne foi (Steinauer, Les droits réels, t. I, 4ème éd., n. 944 p. 328; Schmid, op. cit., n. 42 ad art. 973 CC; Homberger, op. cit., n. 22 ad art. 973 CC). En d'autres termes, l'acquisition par un tiers de bonne foi a pour effet une purge – pour reprendre les termes de Deschenaux qui parle aussi de dépossession ou «à la vérité, "expropriation"» (op. cit., p. 644) – ou une extinction définitive des droits réels incompatibles avec ceux de l'acquéreur de bonne foi et non pas seulement une inopposabilité au seul tiers de bonne foi. En l'espèce, la recourante par voie de jonction soutient que la modification de 1932 est opposable au recourant principal qui ne pouvait l'ignorer puisqu'il a acquis la parcelle no 18 de son père, lequel avait eu la faculté de consulter le registre foncier pour y prendre connaissance de l'assiette modifiée de la servitude. Cependant, comme l'a retenu le premier juge, ni le recourant principal ni son père n'était partie à la convention conclue en 1932 et rien ne permet de tenir pour établi que le père du recourant principal a connu l'existence de la modification intervenue (jgt pp. 38-39 et 51-52). Lorsqu'il a acquis la parcelle, le recourant principal ne pouvait pas constater au registre foncier que la servitude avait été modifiée puisque, lors de la transcription du cadastre cantonal au registre foncier fédéral, une erreur a été commise, de sorte que la modification renvoyant à l'acte notarié de 1932 n'a pas été mentionnée (jgt p. 51). Le recourant principal doit dès lors être protégé dans sa bonne foi, qui est présumée (art. 973 al. 1 CC). C'est donc à juste titre que le premier juge a rejeté la conclusion en rectification du registre foncier. c) Le recourant principal conteste le jugement attaqué dans la mesure où celui-ci retient que la servitude en faveur de son fonds ne présente qu'une utilité partielle pour lui lorsqu'elle s'exerce au-delà de la "borne polygonale" selon l'acte notarié N.________ du 13 juillet 1932, à savoir la borne no 22 (jgt p. 37). L'art. 736 al. 2 CC prévoit que le propriétaire grevé peut obtenir la libération totale ou partielle d'une servitude qui ne conserve qu'une utilité réduite, hors de proportion avec les charges imposées au fonds servant. Les faits qui aggravent la charge pour le fonds servant doivent être postérieurs à la constitution de la servitude (Steinauer, op. cit., t. II, n. 2274 p. 324). Est décisif le fait que l'intérêt au maintien de la servitude soit devenu proportionnellement ténu, peu importe que ce soit en raison d'une diminution de l'intérêt du propriétaire du fonds dominant ou d'une aggravation de la charge pour le propriétaire du fonds servant (ibidem, n. 2275 et la jurisprudence citée; sur tous ces points : Grossrieder, Comment se débarrasser d'une servitude foncière qui gêne un projet de construction, DC 3/2005 pp. 108 ss, sp. 110). L'aggravation de la charge ne doit pas être imputable au propriétaire du fonds servant. En outre, il ne suffit pas que la servitude empêche une certaine utilisation du fonds servant pour que la charge soit disproportionnée; il faut encore que le fonds grevé ne puisse plus du tout être utilisé rationnellement (ibidem, n. 2275a). En l'espèce, la servitude no 134553/29635 dont la recourante par voie de jonction a demandé la radiation permet au recourant principal d'accéder à sa propriété par le nord notamment pour apporter du bois de feu ou encore venir chercher des déchets de jardin avec sa voiture ou sa remorque; la recourante a reconnu dans le cadre d'un autre litige que "l'impensable suppression de ce chemin priverait [le recourant principal] de toute possibilité de dégager sur l'arrière à partir de sa propriété, [ ce qu'elle tolère], alors même que rien ne l'y autorise sinon il serait en difficulté pour évacuer ses nombreux déchets" (jgt p. 54). Il n'est pas possible de déduire qu'il y a eu renonciation tacite à la servitude du seul fait que le père du recourant principal ne s'est pas opposé à ce que le père de la recourante par voie de jonction parque ses véhicules sous le couvert (jgt p. 56). Il n'est dès lors pas possible de suivre le premier juge lorsqu'il conclut que l'utilisation d'une brouette pour transporter du bois autour de la maison suffit, puisque le fonds dominant bénéficie d'autres servitudes autorisant un accès sur celui-ci. Pour ce qui est des besoins du fonds dominant, on ne saurait non plus dire que la faculté pour le recourant principal de tourner autour de sa parcelle avec un véhicule est devenu sans intérêt du fait que l'accès à celle-ci a été le plus souvent effectué par le nord. Si cette faculté avait été supprimée en 1932 pour un précédent propriétaire, ce n'était pas parce que celui-ci n'y avait plus d'intérêt, mais parce qu'il entendait obtenir par-là le retrait d'une opposition à son projet de construction (jgt p. 36), même si celle-ci correspondait à des garages, auxquels il était possible d'accéder par le sud (jgt p. 36). De ce point de vue déjà, il faut donc admettre l'utilité de la servitude litigieuse pour le fonds dominant. Par ailleurs, le premier juge a retenu que le recourant principal n'utilisait que "très exceptionnellement" le passage sous couvert et a considéré que son intérêt à circuler à cet endroit était "dérisoire en comparaison de l'intérêt du propriétaire grevé à pouvoir disposer à sa guise et sur son propre fonds d'une place de parc couverte pour ses véhicules" (jgt p. 57). Il a ainsi procédé à une pesée des intérêts existant actuellement pour aboutir au constat que l'intérêt de la recourante par voie de jonction prédominait. Or, le seul changement qui peut être identifié est le besoin survenu chez la propriétaire du fonds servant d'utiliser désormais le passage couvert, qui abritait à l'origine une fontaine et ses usagers (jgt p. 34), comme place de parc couverte pour des véhicules. Ce besoin nouveau de fonds servant est imputable à sa propriétaire, savoir la recourante par voie de jonction, et ne peut donc pas justifier une libération même partielle de la servitude en faveur du recourant principal.</w:t>
      </w:r>
    </w:p>
    <w:p>
      <w:r>
        <w:rPr>
          <w:b/>
        </w:rPr>
        <w:t>E. 5</w:t>
      </w:r>
    </w:p>
    <w:p>
      <w:r>
        <w:t>En définitive, le recours principal doit être admis et le recours joint rejeté, le dispositif du jugement étant réformé en ce sens que la demande déposée le 4 octobre 2007 par A.X.________ contre A.P.________ est rejetée (I), celle-ci devant verser au défendeur la somme de 7'000 fr. à titre de dépens (VII), les chiffres II à V étant supprimés. Le jugement est confirmé pour le surplus. Les frais de deuxième instance du recourant principal sont arrêtés à 800 fr. (art. 232 TFJC). La recourante par voie de jonction doit verser au recourant principal la somme de 2'800 fr. à titre de dépens de deuxième instance. Par ces motifs, la Chambre des recours du Tribunal cantonal, statuant en audience publique, prononce : I. Le recours principal est admis. II. Le recours joint est rejeté. III. Le jugement est réformé comme il suit aux chiffres I à V et VII de son disposi­tif : I.- rejette la demande déposée le 4 octobre 2007 par A.X.________ contre A.P.________, II.- à V.-              supprimés, VII.- dit que la demanderesse A.X.________ doit verser au défendeur A.P.________ la somme de 7'000 fr. (sept mille francs) à titre de dépens. Le jugement est confirmé pour le surplus. IV. Les frais de deuxième instance du recourant principal sont arrêtés à 800 fr. (huit cents francs). V. Les frais de deuxième instance de la recourante par voie de jonction sont arrêtés à 800 fr. (huit cents francs). VI. La recourante par voie de jonction A.X.________ doit verser au recou­rant principal A.P.________ la somme de 2'800 fr. (deux mille huit cents francs) à titre de dépens de deuxième instance. VII. L'arrêt motivé est exécutoire. Le président :               Le greffier : Du 28 juillet 2010 Le dispositif de l'arrêt qui précède est communiqué par écrit aux intéressés. Le greffier : Du L'arrêt qui précède, dont la rédaction a été approuvée à huis clos, est notifié en expédition complète, par l'envoi de photocopies à : ‑ Me Marino Montini (pour A.P.________), ‑ Me Benoît Bovay (pour A.X.________).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 [1] N° AI 173 – réd. [2] Cet étang est situé à l'embranchement entre le chemin bétonné "ancienne route de Giez" et le chemin en terre battue et gravier conduisant aux bâtiments de la parcelle 21, se terminant à la porte du couvert entre les bâtiments N° AI 56 et 57 – réd.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