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180 vom 29. Januar 2010</w:t>
      </w:r>
    </w:p>
    <w:p>
      <w:r>
        <w:t>VD Tribunal cantonal, 2010-01-29, FR</w:t>
      </w:r>
    </w:p>
    <w:p>
      <w:r>
        <w:rPr>
          <w:b/>
        </w:rPr>
        <w:t xml:space="preserve">Quelle: </w:t>
      </w:r>
      <w:r>
        <w:t>https://mcp.opencaselaw.ch/entscheid/vd_findinfo_AP___2010___180</w:t>
      </w:r>
    </w:p>
    <w:p>
      <w:r>
        <w:t>FR: VD_FINDINFO AP / 2010 / 180 du 29 janvier 2010</w:t>
      </w:r>
    </w:p>
    <w:p>
      <w:r>
        <w:t>IT: VD_FINDINFO AP / 2010 / 180 del 29 gennaio 2010</w:t>
      </w:r>
    </w:p>
    <w:p>
      <w:pPr>
        <w:pStyle w:val="Heading2"/>
      </w:pPr>
      <w:r>
        <w:t>Regeste</w:t>
      </w:r>
    </w:p>
    <w:p>
      <w:r>
        <w:t>PEINE PÉCUNIAIRE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RS 173.10). L'autorité à laquelle l'affaire est renvoyée doit fonder sa nouvelle décision sur les considérants de droit de l'arrêt de cassation et doit s'en tenir aux instructions du Tribunal fédéral (Piquerez, Traité de procédure pénale suisse, 2 ème éd. 2006, n. 1488,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Corboz, Le pourvoi en nullité à la Cour de cassation, in SJ 1991 pp. 57 ss, spéc. pp 99-100; ATF 117 IV 97, JT 1993 IV 130).</w:t>
      </w:r>
    </w:p>
    <w:p>
      <w:r>
        <w:rPr>
          <w:b/>
        </w:rPr>
        <w:t>E. 2</w:t>
      </w:r>
    </w:p>
    <w:p>
      <w:r>
        <w:t>Dans son arrêt du 1 er juillet 2010, le Tribunal fédéral a considéré que le refus du sursis n'était pas critiquable. Il a ensuite relevé que le recourant avait perdu son titre de séjour ce qui permettait d'exclure un travail d'intérêt général, qui ne pourrait atteindre son but d'intégration sociale (ATF 134 IV 97 c. 6.3.3.4). S'agissant de la peine pécuniaire, la Haute Cour a précisé qu'il n'était pas établi que K.________ était sous le coup d'une décision de renvoi ou d'expulsion, ni même qu'un délai lui avait été imparti pour quitter le territoire suisse. Sa situation en droit des étrangers ne permettait donc pas de conclure définitivement à l'impossibilité d'exécuter la peine pécuniaire. En définitive, les considérations invoquées par l'autorité cantonale n'étaient pas de nature, à elles seules, à exclure a priori la peine pécuniaire.</w:t>
      </w:r>
    </w:p>
    <w:p>
      <w:r>
        <w:rPr>
          <w:b/>
        </w:rPr>
        <w:t>E. 3</w:t>
      </w:r>
    </w:p>
    <w:p>
      <w:r>
        <w:t>Le Tribunal fédéral a estimé qu'aucune circonstance particulière ne justifiait qu'il soit dérogé à la peine pécuniaire en faveur d'une peine privative de liberté. Il s'ensuit que la peine devait être prononcée en jours-amende.</w:t>
      </w:r>
    </w:p>
    <w:p>
      <w:r>
        <w:rPr>
          <w:b/>
        </w:rPr>
        <w:t>E. 3.1</w:t>
      </w:r>
    </w:p>
    <w:p>
      <w:r>
        <w:t>Il reste à déterminer le montant du jour-amende. 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(TF 6B_217/2007 du 14 avril 2008 c. 2.1.5 et les références citées). Le Tribunal fédéral a considéré qu'un montant de 10 fr. n'était pas symbolique (TF 6B_769/2008 du 18 juin 2009 c. 1.4.2).</w:t>
      </w:r>
    </w:p>
    <w:p>
      <w:r>
        <w:rPr>
          <w:b/>
        </w:rPr>
        <w:t>E. 3.2</w:t>
      </w:r>
    </w:p>
    <w:p>
      <w:r>
        <w:t>En l’espèce, au vu de la situation personnelle et économique du recourant décrite en page 6 du jugement attaqué, il apparaît que le montant du jour‑amende doit être arrêté à 10 francs.</w:t>
      </w:r>
    </w:p>
    <w:p>
      <w:r>
        <w:rPr>
          <w:b/>
        </w:rPr>
        <w:t>E. 4</w:t>
      </w:r>
    </w:p>
    <w:p>
      <w:r>
        <w:t>En définitive, le recours de K.________ doit être admis et le jugement réformé dans le sens des considérants. Les frais de deuxième instance, y compris l'indemnité d'office allouée pour la procédure devant la cour de céans, par 280 fr. plus 21 fr. 30 de TVA,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