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179 vom 15. Januar 2009</w:t>
      </w:r>
    </w:p>
    <w:p>
      <w:r>
        <w:t>VD Tribunal cantonal, 2009-01-15, FR</w:t>
      </w:r>
    </w:p>
    <w:p>
      <w:r>
        <w:rPr>
          <w:b/>
        </w:rPr>
        <w:t xml:space="preserve">Quelle: </w:t>
      </w:r>
      <w:r>
        <w:t>https://mcp.opencaselaw.ch/entscheid/vd_findinfo_AP___2010___179</w:t>
      </w:r>
    </w:p>
    <w:p>
      <w:r>
        <w:t>FR: VD_FINDINFO AP / 2010 / 179 du 15 janvier 2009</w:t>
      </w:r>
    </w:p>
    <w:p>
      <w:r>
        <w:t>IT: VD_FINDINFO AP / 2010 / 179 del 15 gennaio 2009</w:t>
      </w:r>
    </w:p>
    <w:p>
      <w:pPr>
        <w:pStyle w:val="Heading2"/>
      </w:pPr>
      <w:r>
        <w:t>Regeste</w:t>
      </w:r>
    </w:p>
    <w:p>
      <w:r>
        <w:t>CHOSE LOUÉE, RESTITUTION{EN GÉNÉRAL}, INDEMNITÉ POUR OCCUPATION ILLICITE, BAIL À LOYER | 267 al. 1 CO</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ou son président. Le recours, interjeté en temps utile, est ainsi recevable.</w:t>
      </w:r>
    </w:p>
    <w:p>
      <w:r>
        <w:rPr>
          <w:b/>
        </w:rPr>
        <w:t>E. 2</w:t>
      </w:r>
    </w:p>
    <w:p>
      <w:r>
        <w:t>Saisie d'un recours en réforme contre un jugement principal rendu par le Président du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w:t>
      </w:r>
    </w:p>
    <w:p>
      <w:r>
        <w:rPr>
          <w:b/>
        </w:rPr>
        <w:t>E. 3</w:t>
      </w:r>
    </w:p>
    <w:p>
      <w:r>
        <w:t>Le recourant fait valoir que selon le témoin Q.________, peu après le déménagement du recourant, l'intimé aurait une nouvelle fois refusé la restitution des clés, qu'il a laissé une clé à disposition de l'intimé dans les locaux litigieux, qui lui étaient facilement accessibles par une porte communicante dont il avait la clé. Il soutient en conséquence qu'on ne saurait mettre à sa charge une indemnité pour occupation illicite. L'art. 267 al. 1 CO impose qu'à la fin du bail, le locataire restitue la chose dans l'état qui résulte d'un usage conforme au contrat. Si le locataire reste dans les locaux sans droit après l'expiration du bail, il viole une de ses obligations contractuelles et doit dès lors des dommages-intérêts pour occupation illicite des locaux (ATF 131 III 257 c. 2 et références; ATF 119 II 437 c. 3b/bb; Lachat, Le droit du bail, 2 ème éd., 2008, pp. 673-674 et 821 et références; Tercier/Favre/Bugnon, Les contrat spéciaux,</w:t>
      </w:r>
    </w:p>
    <w:p>
      <w:r>
        <w:rPr>
          <w:b/>
        </w:rPr>
        <w:t>E. 4</w:t>
      </w:r>
    </w:p>
    <w:p>
      <w:r>
        <w:t>En conclusion, le recours doit être rejeté et le jugement confirmé. Les frais de deuxième instance du recourant sont arrêtés à 570 fr. (art. 232 TFJC; tarif du 4 décembre 1984 des frais judiciaires en matière civile; RSV 270.11). Obtenant gain de cause, l'intimé a droit à des dépens de deuxième instance, fixés à 1'500 fr. (art. 91 et 92 CPC; art. 2 al. 1 ch. 33, art. 3 et 5 ch. 2 TAv; tarif du 17 juin 1986 des honoraires d'avocat dus à titre de dépens; RSV 177.11.3). Par ces motifs, la Chambre des recours du Tribunal cantonal, statuant en audience publique, prononce : I. Le recours est rejeté. II. Le jugement est confirmé. III. Les frais de deuxième instance du recourant J.________ sont arrêtés à 570 fr. (cinq cent septante francs). IV. Le recourant J.________ doit verser à l'intimé C.________ la somme de 1'500 fr. (mille cinq cents francs) à titre de dépens de deuxième instance. V. L'arrêt motivé est exécutoire. Le président :               Le greffier : Du 19 mai 2010 Le dispositif de l'arrêt qui précède est communiqué par écrit aux intéressés. Le greffier : Du L'arrêt qui précède, dont la rédaction a été approuvée à huis clos, est notifié en expédition complète, par l'envoi de photocopies à : ‑ M. Jean-Daniel Nicaty (pour J.________), ‑ Me Michel Dubuis (pour C.________). La Chambre des recours considère que la valeur litigieuse est de 27'000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