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172 vom 26. April 2010</w:t>
      </w:r>
    </w:p>
    <w:p>
      <w:r>
        <w:t>VD Tribunal cantonal, 2010-04-26, FR</w:t>
      </w:r>
    </w:p>
    <w:p>
      <w:r>
        <w:rPr>
          <w:b/>
        </w:rPr>
        <w:t xml:space="preserve">Quelle: </w:t>
      </w:r>
      <w:r>
        <w:t>https://mcp.opencaselaw.ch/entscheid/vd_findinfo_AP___2010___172</w:t>
      </w:r>
    </w:p>
    <w:p>
      <w:r>
        <w:t>FR: VD_FINDINFO AP / 2010 / 172 du 26 avril 2010</w:t>
      </w:r>
    </w:p>
    <w:p>
      <w:r>
        <w:t>IT: VD_FINDINFO AP / 2010 / 172 del 26 aprile 2010</w:t>
      </w:r>
    </w:p>
    <w:p>
      <w:pPr>
        <w:pStyle w:val="Heading2"/>
      </w:pPr>
      <w:r>
        <w:t>Regeste</w:t>
      </w:r>
    </w:p>
    <w:p>
      <w:r>
        <w:t>DROIT PÉNAL, GARANTIE PROCÉDURALE DE LA CONSTITUTION FÉDÉRALE, PRINCIPE DE L'ACCUSATION, CONSTATATION DES FAITS, DROIT D'ÊTRE ENTENDU, PROCÉDURE PÉNALE, VICE DE PROCÉDURE, DOUTE, VIOLENCE DOMESTIQUE, DÉCISION DE RENVOI | 353 CPP, 354 CPP, 355 CPP, 411 CPP, 411 let. g CPP, 411 let. h CPP, 411 let. i CPP, 444 CPP, 29 al. 2 Cst.</w:t>
      </w:r>
    </w:p>
    <w:p>
      <w:pPr>
        <w:pStyle w:val="Heading2"/>
      </w:pPr>
      <w:r>
        <w:t>Erwägungen</w:t>
      </w:r>
    </w:p>
    <w:p>
      <w:r>
        <w:rPr>
          <w:b/>
        </w:rPr>
        <w:t>E. 3</w:t>
      </w:r>
    </w:p>
    <w:p>
      <w:r>
        <w:t>En définitive, le recours doit être admis, le jugement entrepris annulé et la cause renvoyée au Tribunal de police de l'arrondissement de La Broye et du Nord vaudois pour nouvelle instruction et nouveau jugement. Les frais de deuxième instance, y compris l'indemnité allouée au défenseur d'office du recourant,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