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166 vom 12. Juli 2010</w:t>
      </w:r>
    </w:p>
    <w:p>
      <w:r>
        <w:t>VD Tribunal cantonal, 2010-07-12, FR</w:t>
      </w:r>
    </w:p>
    <w:p>
      <w:r>
        <w:rPr>
          <w:b/>
        </w:rPr>
        <w:t xml:space="preserve">Quelle: </w:t>
      </w:r>
      <w:r>
        <w:t>https://mcp.opencaselaw.ch/entscheid/vd_findinfo_AP___2010___166</w:t>
      </w:r>
    </w:p>
    <w:p>
      <w:r>
        <w:t>FR: VD_FINDINFO AP / 2010 / 166 du 12 juillet 2010</w:t>
      </w:r>
    </w:p>
    <w:p>
      <w:r>
        <w:t>IT: VD_FINDINFO AP / 2010 / 166 del 12 luglio 2010</w:t>
      </w:r>
    </w:p>
    <w:p>
      <w:pPr>
        <w:pStyle w:val="Heading2"/>
      </w:pPr>
      <w:r>
        <w:t>Regeste</w:t>
      </w:r>
    </w:p>
    <w:p>
      <w:r>
        <w:t>LIBÉRATION CONDITIONNELLE | 86 CP</w:t>
      </w:r>
    </w:p>
    <w:p>
      <w:pPr>
        <w:pStyle w:val="Heading2"/>
      </w:pPr>
      <w:r>
        <w:t>Erwägungen</w:t>
      </w:r>
    </w:p>
    <w:p>
      <w:r>
        <w:rPr>
          <w:b/>
        </w:rPr>
        <w:t>E. 1</w:t>
      </w:r>
    </w:p>
    <w:p>
      <w:r>
        <w:t>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(art. 26 al. 2 LEP).</w:t>
      </w:r>
    </w:p>
    <w:p>
      <w:r>
        <w:rPr>
          <w:b/>
        </w:rPr>
        <w:t>E. 1.1</w:t>
      </w:r>
    </w:p>
    <w:p>
      <w:r>
        <w:t>En vertu de l'art. 38 al. 1 LEP, la Cour de cassation pénale du Tribunal cantonal est compétente pour connaître des recours formés contre les décisions du collège des juges d'application des peines, à l'exception de celles rendues par lui sur recours. En l'espèce, la décision attaquée est un jugement émanant du collège des juges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1.3</w:t>
      </w:r>
    </w:p>
    <w:p>
      <w:r>
        <w:t>En l'occurrence, l'acte de recours a été déposé en temps utile auprès de l'autorité compétente. Le recourant n'a pas formulé de conclusions expresses lorsqu'il a développé ses moyens, mais ses explications permettent de comprendre qu'il demande à être libéré conditionnellement. Partant, le recours est recevable en la forme. Quant aux pièces produites par Y.________, elles sont également recevables, la Cour de cassation, qui établit d'office les faits, pouvant ordonner toutes les mesures d'instruction qu'elle juge utiles.</w:t>
      </w:r>
    </w:p>
    <w:p>
      <w:r>
        <w:rPr>
          <w:b/>
        </w:rPr>
        <w:t>E. 2</w:t>
      </w:r>
    </w:p>
    <w:p>
      <w:r>
        <w:t>Il doit être considéré que le recours tend à la réforme du jugement en ce sens que la libération conditionnelle est accordée au condamné avec effet immédiat.</w:t>
      </w:r>
    </w:p>
    <w:p>
      <w:r>
        <w:rPr>
          <w:b/>
        </w:rPr>
        <w:t>E. 2.1</w:t>
      </w:r>
    </w:p>
    <w:p>
      <w:r>
        <w:t>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Kuhn/Moreillon/Viredaz/Bichovsky,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119 IV 5 c. 1b; TF 6B_663/2009 du 19 octobre 2009 c. 1.2 et les références citées;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ATF 124 IV 193 c. 3; TF 6B_621/2009 du 11 août 2009, précité,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On relèvera en dernier lieu que,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(ATF 119 IV 105).</w:t>
      </w:r>
    </w:p>
    <w:p>
      <w:r>
        <w:rPr>
          <w:b/>
        </w:rPr>
        <w:t>E. 2.2</w:t>
      </w:r>
    </w:p>
    <w:p>
      <w:r>
        <w:t>En l'espèce, il est admis que le condamné est éligible à une libération anticipée dès le 27 juillet 2010 et que son comportement pendant la détention ne fait pas obstacle à une telle libération de telle sorte que la seule question qu'il convient d'examiner est celle de l'existence d'un éventuel pronostic défavorable.</w:t>
      </w:r>
    </w:p>
    <w:p>
      <w:r>
        <w:rPr>
          <w:b/>
        </w:rPr>
        <w:t>E. 2.2.1</w:t>
      </w:r>
    </w:p>
    <w:p>
      <w:r>
        <w:t>En préambule, le recourant ne conteste pas en lui-même le risque de récidive qui tient au fait qu’il se retrouverait en Suisse dans la situation qui était la sienne lorsqu’il a commis les infractions pour lesquelles il a été condamné. La décision prise par les premiers juges à cet égard doit toutefois être précisée. Il sied d'abord de prendre en considération que neuf ans se sont écoulés depuis les infractions sanctionnées. Durant cette période, l'intéressé a adopté un bon comportement en détention et a été capable de respecter l'ensemble des conditions lui permettant de bénéficier d'élargissement de régime. Après s'être vu accorder seize sorties, dont quinze non accompagnées, au sein des Etablissement de la plaine de l'Orbe, Y.________ a été transféré le 15 février 2010 en régime de travail externe à la Maison Montfleury où il donne entière satisfaction dans l'atelier nettoyage. Si l'amendement du condamné doit être relativisé, il n'en demeure pas moins qu'il s'est montré collaborant et que dans le cadre de sa détention, il a fait preuve d'une évolution positive et a adopté une attitude encourageante pour l'avenir. Or, l'exécution complète du solde de sa peine, qui s'élève à près de quatre ans de privation de liberté, n'entraînera à l'évidence pas la disparition de la dangerosité du recourant, qui se retrouvera dans une situation précaire à sa sortie de prison en raison de son absence d'attaches et de permis de séjour en Suisse. En revanche, une libération conditionnelle devrait l'inciter à reprendre sa vie en mains tout en ayant un effet dissuasif important notamment au vu de l'âge de Y.________ et du fait qu'il a passé, en tenant compte de la condamnation genevoise, les douze dernières années de sa vie en détention. En conséquence, il apparaît que le pronostic serait plus défavorable en cas d'exécution complète de la peine qu'en cas de libération conditionnelle.</w:t>
      </w:r>
    </w:p>
    <w:p>
      <w:r>
        <w:rPr>
          <w:b/>
        </w:rPr>
        <w:t>E. 2.2.2</w:t>
      </w:r>
    </w:p>
    <w:p>
      <w:r>
        <w:t>Ceci étant brièvement exposé, il s’agit encore de rechercher si la libération conditionnelle peut être accordée à Y.________, moyennant qu’il soit renvoyé vers le Paraguay. Le Collège des juges d'application des peines a envisagé cette solution mais l’a rejetée au motif qu’il est apparu, après son audition, que l’intéressé n’avait pas l’intention de partir de Suisse avant de subir une opération de l'épaule. Or, devant la cour de céans, le prénommé a renoncé définitivement à subir une intervention chirurgicale pour son épaule et a déclaré accepter de quitter le territoire helvétique à la date prévue pour sa libération conditionnelle. Un pronostic non défavorable peut ainsi être posé, dans la mesure où l'intéressé a fait le nécessaire afin de se rendre dès sa libération au Paraguay, pays dont il possède la nationalité, en compagnie de sa compagne afin d'y reconstruire sa vie, comme il l'a lui-même déclaré. Ses chances de réinsertion dans cet Etat apparaissent suffisantes et il dispose à cette fin d'un pécule de plusieurs milliers de francs amassés durant sa détention. En l'espèce, étant donné que Y.________ est en passe d'être renvoyé de Suisse et qu'il a suffisamment établi tout mettre en œuvre afin de se conformer à cette mesure, il se justifie de le libérer conditionnellement. Il convient en outre d'impartir à l'intéressé un délai d'épreuve de quatre ans, conformément à l'art. 87 al. 1 CP.</w:t>
      </w:r>
    </w:p>
    <w:p>
      <w:r>
        <w:rPr>
          <w:b/>
        </w:rPr>
        <w:t>E. 3</w:t>
      </w:r>
    </w:p>
    <w:p>
      <w:r>
        <w:t>En définitive, le recours doit être admis et la libération conditionnelle accordée, étant précisé qu'elle ne deviendra effective que dès le moment où le prénommé pourra être renvoyé du territoire suisse. Vu l'issue du recours, les frais de deuxième instance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