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163 vom 29. Juli 2009</w:t>
      </w:r>
    </w:p>
    <w:p>
      <w:r>
        <w:t>VD Tribunal cantonal, 2009-07-29, FR</w:t>
      </w:r>
    </w:p>
    <w:p>
      <w:r>
        <w:rPr>
          <w:b/>
        </w:rPr>
        <w:t xml:space="preserve">Quelle: </w:t>
      </w:r>
      <w:r>
        <w:t>https://mcp.opencaselaw.ch/entscheid/vd_findinfo_AP___2010___163</w:t>
      </w:r>
    </w:p>
    <w:p>
      <w:r>
        <w:t>FR: VD_FINDINFO AP / 2010 / 163 du 29 juillet 2009</w:t>
      </w:r>
    </w:p>
    <w:p>
      <w:r>
        <w:t>IT: VD_FINDINFO AP / 2010 / 163 del 29 luglio 2009</w:t>
      </w:r>
    </w:p>
    <w:p>
      <w:pPr>
        <w:pStyle w:val="Heading2"/>
      </w:pPr>
      <w:r>
        <w:t>Regeste</w:t>
      </w:r>
    </w:p>
    <w:p>
      <w:r>
        <w:t>BAIL À LOYER, ANNULABILITÉ, RÉSILIATION, PROLONGATION DU BAIL À LOYER, PESÉE DES INTÉRÊTS, RÉNOVATION D'IMMEUBLE | 271 al. 1 CO, 271 CO, 272 al. 1 CO, 272 al. 2 CO, 272 CO, 452 al. 1ter CPC, 452 al. 2 CPC, 452 CPC, 456a al. 1 CPC, 456a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Interjeté en temps utile, le recours, qui tend principalement à la réforme et subsidiairement à la nullité, est recevable en la forme.</w:t>
      </w:r>
    </w:p>
    <w:p>
      <w:r>
        <w:rPr>
          <w:b/>
        </w:rPr>
        <w:t>E. 2</w:t>
      </w:r>
    </w:p>
    <w:p>
      <w:r>
        <w:t>En règle générale, la Chambre des recours délibère en premier lieu sur les moyens de nullité (art. 470 al. 1 CPC). Saisie d'un recours en nullité, la Chambre des recours n'examine que les griefs de nullité dûment développés (Poudret/Haldy/Tappy, Procédure civile vaudoise, 3 ème éd., Lausanne 2002, n. 2 ad art. 465 CPC, p. 722). Le recourant conclut subsidiairement à l'annulation du jugement, invoquant l'introduction de faits non prouvés et une appréciation arbitraire des preuves en violation des art. 4 al. 1 et 5 al.</w:t>
      </w:r>
    </w:p>
    <w:p>
      <w:r>
        <w:rPr>
          <w:b/>
        </w:rPr>
        <w:t>E. 3</w:t>
      </w:r>
    </w:p>
    <w:p>
      <w:r>
        <w:t>a) Les conclusions en réforme ne sont ni nouvelles ni plus amples que celles prises en première instance (art. 452 al. 1 CPC). Elles sont donc recevables. b/aa)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bb) En l'espèce, l'état de fait du jugement est conforme aux pièces du dossier et a été complété sur la base de celui-ci. La pièce nouvelle produite en deuxième instance par le recourant ne dépasse pas le cadre de l'instruction complémentaire telle qu'exposée ci-avant et peut être versée au dossier. Il convient dès lors de compléter l'état de fait du jugement entrepris en ce sens qu'il ressort du courrier adressé le 27 janvier 2010 par le CMS de Renens au mandataire du recourant que celui-ci a eu un contact avec le précédent responsable du CMS de Renens le 26 novembre 2008, puis avec Z.________, et qu'il a alors notamment informé ce centre de la résiliation de son bail. Au surplus, le recourant requiert l'audition de Z.________, en application de l'art. 456a CPC. Or, il ressort du procès-verbal de l'audience du 29 juillet 2009 que la mandataire d'alors du recourant a expressément renoncé à l'audition de ce témoin. Le grief fait aux premiers juges d'avoir violé leur devoir d'instruction en n'entendant pas Z.________ est dès lors infondé.</w:t>
      </w:r>
    </w:p>
    <w:p>
      <w:r>
        <w:rPr>
          <w:b/>
        </w:rPr>
        <w:t>E. 4</w:t>
      </w:r>
    </w:p>
    <w:p>
      <w:r>
        <w:t>décembre 1985 sur l'aménagement du territoire et les constructions; RSV 700.11.1]) et au permis de construire qui serait cas échéant délivré, la validité de celui-ci se périme par deux ans dès sa date si la construction n’a pas commencé (art. 118 al. 1 LATC), éventuellement prolongée d’un an (art. 118 al. 2 LATC). Il en va de même de l’autorisation préalable (art. 119 al. 2 LATC). On ne saurait donc reprocher aux intimés de n’avoir pas d'ores et déjà requis un permis de construire, puisque celui-ci pourrait être périmé, faute d’avoir obtenu le départ du locataire. Au demeurant, il n'est même pas établi qu'une autorisation selon la LDTR serait indispensable, au vu de l'art. 1 al. 2 RLDTR (règlement du 6 mai 1988 appliquant la loi du 4 mars 1985 concernant la démolition, la transformation et la rénovation de maisons d'habitation, ainsi que l'utilisation de logements à d'autres fins que l'habitation; RSV 840.15.1), qui prévoit que le département peut dispenser le propriétaire de présenter une demande lorsque les travaux envisagés représentent un coût inférieur aux 20% de la valeur à neuf de l'assurance-incendie de l'immeuble.</w:t>
      </w:r>
    </w:p>
    <w:p>
      <w:r>
        <w:rPr>
          <w:b/>
        </w:rPr>
        <w:t>E. 5</w:t>
      </w:r>
    </w:p>
    <w:p>
      <w:r>
        <w:t>a) A titre subsidiaire, le recourant conteste la durée de la prolongation. Selon lui, le Tribunal des baux aurait procédé à une pesée erronée des intérêts en présence en ramenant la prolongation de quatre ans accordée par la commission de conciliation par décision du 11 mars 2009 à une prolongation unique de trois ans. b) Aux termes de l’art. 272 al. 1 CO, le locataire peut demander la prolongation d’un bail de durée déterminée ou indéterminée lorsque la fin du contrat aurait pour lui ou sa famille des conséquences pénibles sans que les intérêts du bailleur le justifient. Selon l'art. 272 al. 2 CO,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précité). Saisi d’une demande de prolongation de bail, le juge doit d’abord, vu le texte de l’art. 271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 n° 238; SVIT, op. cit., n. 15 ad art. 272 CO, p. 782; Weber, op. cit., n. 3 ad art. 272 CO, p. 1571; contra: Lachat, op. cit., note infrapaginale n°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précité; Tercier/Favre/Bugnon, Les contrats spéciaux, 4 ème éd., 2009, n. 2764, p. 406). c) En l’espèce, la pesée des intérêts en cause opérée par les premiers juges ne prête pas le flanc à la critique. Ils ont notamment tenu compte de la durée du bail, de la situation personnelle du recourant, du fait que le champ de recherche était - vu l'état de santé et la proximité de son fils et de son médecin - limité à Renens, de la situation financière du locataire, du marché tendu du logement et du fait que les travaux pouvaient attendre l’échéance de la période de prolongation. Ils ont également pris en considération le fait que le recourant refusait l'aide des intimés - même s'il était relevé que les appartements proposés par ceux-ci ne suffisaient pas en soi pour considérer qu'un logement de remplacement avait été offert et n'étaient pas équivalents aux locaux en cause - et qu'il n'avait effectué aucune recherche d'appartement depuis la résiliation du bail le 23 septembre 2008, n'ayant même pas informé son assistante sociale du congé qu'il avait reçu (cf. jgt, pp. 9 à 12). Les premiers juges n'ont dès lors pas abusé de leur pouvoir d'appréciation en accordant une unique prolongation de bail de trois ans. Il est néanmoins donné acte au recourant que, contrairement à ce qui a été retenu en page 12 du jugement, il a informé le CMS de Renens de la résiliation de son bail en novembre 2008, selon la lettre du 27 janvier 2010 produite à l’appui du recours. Cela ne change rien au fait que le recourant n’a entrepris aucune démarche en vue de sa relocation, déclarant au contraire qu’il voulait terminer sa vie dans le logement litigieux. Si le locataire a principalement conclu à l’annulation du congé, on se montrera certes moins exigeant quant aux recherches que l’on peut attendre de lui (Lachat, op. cit., p. 782), sans que cela ne le dispense pour autant de toute démarche. d) A l’appui de sa conclusion subsidiaire en prolongation du bail jusqu'au 31 décembre 2012, le recourant revient sur la question des travaux eux-mêmes et sur le manque d’informations reçues à ce sujet. Or, ces éléments - qui fondent ou non la résiliation - sont sans pertinence dans l'examen de la durée de la prolongation. Au demeurant et comme relevé ci-avant au considérant 2, les intimés ont donné suite aux réquisitions des premiers juges, dans la mesure où ils disposaient des pièces.</w:t>
      </w:r>
    </w:p>
    <w:p>
      <w:r>
        <w:rPr>
          <w:b/>
        </w:rPr>
        <w:t>E. 6</w:t>
      </w:r>
    </w:p>
    <w:p>
      <w:r>
        <w:t>En conclusion, le recours doit être rejeté et le jugement confirmé. Les frais de deuxième instance du recourant sont arrêtés à 684 fr. (art. 232 al. 1 TFJC [tarif du 4 décembre 1984 des frais judiciaires en matière civile; RSV 270.11.5]). Les intimés ayant agi sans l'aide d'un mandataire professionnel, il n'y a pas lieu de leur allouer de dépens de deuxième instance. Par ces motifs, la Chambre des recours du Tribunal cantonal, statuant en audience publique, prononce : I. Le recours est rejeté. II. Le jugement est confirmé. III. Les frais de deuxième instance du recourant G.________ sont arrêtés à 684 fr. (six cent huitante-quatre francs). IV. Il n'est pas alloué de dépens de deuxième instance. V. L'arrêt motivé est exécutoire. Le président :               La greffière : Du 5 mai 2010 Le dispositif de l'arrêt qui précède est communiqué par écrit aux intéressés. La greffière : Du L'arrêt qui précède, dont la rédaction a été approuvée à huis clos, est notifié en expédition complète, par l'envoi de photocopies, à : ‑ Me Rodolphe Petit (pour G.________), ‑ M. A.L.________, - Mme B.L.________. La Chambre des recours considère que la valeur litigieuse est de 29'670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