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12 vom 30. September 2009</w:t>
      </w:r>
    </w:p>
    <w:p>
      <w:r>
        <w:t>VD Tribunal cantonal, 2009-09-30, FR</w:t>
      </w:r>
    </w:p>
    <w:p>
      <w:r>
        <w:rPr>
          <w:b/>
        </w:rPr>
        <w:t xml:space="preserve">Quelle: </w:t>
      </w:r>
      <w:r>
        <w:t>https://mcp.opencaselaw.ch/entscheid/vd_findinfo_AP___2010___12</w:t>
      </w:r>
    </w:p>
    <w:p>
      <w:r>
        <w:t>FR: VD_FINDINFO AP / 2010 / 12 du 30 septembre 2009</w:t>
      </w:r>
    </w:p>
    <w:p>
      <w:r>
        <w:t>IT: VD_FINDINFO AP / 2010 / 12 del 30 settembre 2009</w:t>
      </w:r>
    </w:p>
    <w:p>
      <w:pPr>
        <w:pStyle w:val="Heading2"/>
      </w:pPr>
      <w:r>
        <w:t>Regeste</w:t>
      </w:r>
    </w:p>
    <w:p>
      <w:r>
        <w:t>FIXATION DE LA PEINE | 47 CP, 415 CPP</w:t>
      </w:r>
    </w:p>
    <w:p>
      <w:pPr>
        <w:pStyle w:val="Heading2"/>
      </w:pPr>
      <w:r>
        <w:t>Erwägungen</w:t>
      </w:r>
    </w:p>
    <w:p>
      <w:r>
        <w:rPr>
          <w:b/>
        </w:rPr>
        <w:t>E. 1</w:t>
      </w:r>
    </w:p>
    <w:p>
      <w:r>
        <w:t>Le recours est exclusivement en réforme.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pp. 70 s.). En revanche, elle examine librement les questions de droit sans être limitée aux moyens invoqués (art. 447 al. 1 CPP). Elle ne peut cependant aller au delà des conclusions du recourant (art. 447 al. 2 CPP).</w:t>
      </w:r>
    </w:p>
    <w:p>
      <w:r>
        <w:rPr>
          <w:b/>
        </w:rPr>
        <w:t>E. 1.4</w:t>
      </w:r>
    </w:p>
    <w:p>
      <w:r>
        <w:t>ad art. 415 CPP; ATF 129 IV 6, c. 6.1; ATF 127 IV 101, c. 2c; ATF 122 IV 156, c. 3b; ATF 116 IV 288, c. 2b). Lorsque la Cour de cassation maintient le jugement attaqué quant aux faits et à leur qualification juridique et qu'elle doit seulement se demander si la peine est exagérément lourde (ou, au contraire, trop clémente), son pouvoir d'appréciation est limité par la règle posée à l'art. 415 al. 3 CPP, à savoir que seul l'abus du pouvoir d'appréciation est assimilé à une fausse application de la loi (Bovay et alii, op. cit., n. 4.2 ad art. 415 CPP et la réf. cit.).</w:t>
      </w:r>
    </w:p>
    <w:p>
      <w:r>
        <w:rPr>
          <w:b/>
        </w:rPr>
        <w:t>E. 2</w:t>
      </w:r>
    </w:p>
    <w:p>
      <w:r>
        <w:t>Le Ministère public fait grief aux premiers juges d'avoir abusé de leur pouvoir d'appréciation dans la fixation de la peine infligée à V.________. Il considère que la sanction est arbitrairement clémente.</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 et au " mode et exécution de l'acte " de la jurisprudence (TF 6B_710/2007 du 6 février 2008, c. 3.2 et les réf. cit.).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w:t>
      </w:r>
    </w:p>
    <w:p>
      <w:r>
        <w:rPr>
          <w:b/>
        </w:rPr>
        <w:t>E. 2.2</w:t>
      </w:r>
    </w:p>
    <w:p>
      <w:r>
        <w:t>L'art. 138 ch. 1 CP réprime l'abus de confiance d'une peine privative de liberté de cinq ans au plus ou d'une peine pécuniaire. Une peine telle que celle prononcée à l'encontre de V.________ apparaît, s'agissant de sa durée, au bas de l'échelle des sanctions entrant en considération, même sans tenir compte de la question du concours (art. 49 al. 1 CP), et ne pourrait se justifier que par une culpabilité modérée de l'auteur. Or, en l'occurrence, elle est grave, compte tenu notamment de l'importance du montant détourné et de la longue période durant laquelle elle a agi. Comme l'a relevé le tribunal a bon escient, l'intimée a fait preuve d'une attitude détestable en prélevant des sommes constituées par des dons censés favoriser des personnes dans une situation de détresse (jgt., p. 6). Quant aux difficultés financières consécutives à son divorce, invoquées afin de justifier son comportement délictueux, elles se sont estompées dès 2002, l'accusée n'ayant plus d'enfant à charge et aurait pu occuper un emploi à plein temps. Elle percevait en outre une indemnité forfaitaire annuelle de 10'000 fr. pour l'exercice de sa fonction de municipale. Toutefois, en dépit de l'amélioration de sa situation matérielle, V.________ a poursuivi son activité délictueuse jusqu'en 2006 ce qui dénote une volonté délictuelle significative. Si son absence d'antécédent, le remboursement d'une partie du préjudice ainsi que la reconnaissance de dette du 1 er décembre 2009 constituent des éléments à décharge, les aveux de l'accusée doivent être relativisés, ceux-ci n'ayant en définitive pas le caractère spontané que leur attribue l'autorité intimée. Compte tenu du fait que les éléments retenus à décharge de l'intimée doivent être quelque peu relativisés dans la mesure évoquée ci-dessus et vu les éléments importants retenus à sa charge par les premiers juges, il apparaît que la peine pécuniaire de cent-huitante jours amende est, en l'espèce, même en tenant compte d'une large marge d'appréciation laissée à l'autorité de première instance, sans rapport avec la culpabilité réelle de l'intéressée. Le grief de violation de l'art. 47 CP est dès lors bien fondé et il convient de fixer une nouvelle peine. Au vu de l'ensemble des éléments susmentionnés, une peine pécuniaire de trois cent soixante jours-amende sanctionne adéquatement V.________. Le montant du jour-amende, qui n'est pas remis en question, doit être confirmé.</w:t>
      </w:r>
    </w:p>
    <w:p>
      <w:r>
        <w:rPr>
          <w:b/>
        </w:rPr>
        <w:t>E. 3</w:t>
      </w:r>
    </w:p>
    <w:p>
      <w:r>
        <w:t>En définitive, le recours du Ministère public doit être partiellement admis et le jugement réformé dans le sens des considérants. Les frais de deuxième instance, y compris l'indemnité allouée au défenseur d'office de V.________, par 540 fr. (cinq cent quarante francs),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