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108 vom 14. November 2008</w:t>
      </w:r>
    </w:p>
    <w:p>
      <w:r>
        <w:t>VD Tribunal cantonal, 2008-11-14, FR</w:t>
      </w:r>
    </w:p>
    <w:p>
      <w:r>
        <w:rPr>
          <w:b/>
        </w:rPr>
        <w:t xml:space="preserve">Quelle: </w:t>
      </w:r>
      <w:r>
        <w:t>https://mcp.opencaselaw.ch/entscheid/vd_findinfo_AP___2010___108</w:t>
      </w:r>
    </w:p>
    <w:p>
      <w:r>
        <w:t>FR: VD_FINDINFO AP / 2010 / 108 du 14 novembre 2008</w:t>
      </w:r>
    </w:p>
    <w:p>
      <w:r>
        <w:t>IT: VD_FINDINFO AP / 2010 / 108 del 14 novembre 2008</w:t>
      </w:r>
    </w:p>
    <w:p>
      <w:pPr>
        <w:pStyle w:val="Heading2"/>
      </w:pPr>
      <w:r>
        <w:t>Regeste</w:t>
      </w:r>
    </w:p>
    <w:p>
      <w:r>
        <w:t>CONSTATATION DES FAITS, ESCROQUERIE, TRIBUNAL FÉDÉRAL, DÉCISION DE RENVOI | 448 al. 2 CPP, 448 CPP,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w:t>
      </w:r>
    </w:p>
    <w:p>
      <w:r>
        <w:rPr>
          <w:b/>
        </w:rPr>
        <w:t>E. 2</w:t>
      </w:r>
    </w:p>
    <w:p>
      <w:r>
        <w:t>a) Dans son arrêt du 9 mars 2010, le Tribunal fédéral a admis que C.________ avait bénéficié d’un enrichissement en recouvrant la somme de 150'000 fr. prêtée à X.________ SA, tout en relevant qu’il aurait encore fallu démontrer que cet avantage patrimonial correspondait à un désavantage pour Z.________ et que ce désavantage résultait directement de l’acte de disposition consenti par la victime. Le Tribunal fédéral a en effet estimé que les constatations de fait de la cour cantonale ne permettaient pas d’établir clairement que la situation patrimoniale du plaignant était meilleure avant la signature de la convention de reprise de dette du 14 février 2001, soit que l’acte de disposition lui ait causé un dommage, fût-ce sous la forme d’un accroissement du risque de non-recouvrement de sa créance. Il a ainsi annulé l’arrêt cantonal s’agissant du seul recourant A.________ et renvoyé la cause à la cour de céans afin qu’elle complète l’état de fait sur ce point en examinant concrètement quelles garanties de solvabilité offrait la Fiduciaire Y.________ et si celles-ci étaient meilleures ou moins bonnes que celles offertes par X.________ SA. Le Tribunal fédéral a enfin précisé que si un dommage ne pouvait être établi de la sorte, il conviendrait encore, pour autant que les règles cantonales le permettent, d’examiner dans quelle mesure le recourant avait collaboré avec B.________ aux opérations pour lesquelles celui-ci avait été condamné pour abus de confiance. b) Les parties ayant été invitées, suite à cet arrêt, à déposer un mémoire complémentaire, seul le plaignant a présenté des déterminations. Ses arguments sont toutefois sans pertinence, dès lors qu’ils tendent, en substance, à démontrer que le Tribunal fédéral s’est trompé ou, à tout le moins, qu’il n’a pas tenu compte de tous les éléments à disposition, quand bien même la cour de céans est liée par ses considérants de droit (cf. supra, c. 1). Il n’y a donc pas lieu d’entrer en matière sur ces griefs. Cela étant, les mesures d’instruction concrètes telles que requises par le Tribunal fédéral ne peuvent être effectuées dans le cadre de l’instance de recours cantonale. Il convient dès lors d’annuler d’office le jugement entrepris (art. 448 al. 2 CPP) et de renvoyer la cause aux premiers juges, à charge pour eux de procéder conformément aux indications du Tribunal fédéral.</w:t>
      </w:r>
    </w:p>
    <w:p>
      <w:r>
        <w:rPr>
          <w:b/>
        </w:rPr>
        <w:t>E. 3</w:t>
      </w:r>
    </w:p>
    <w:p>
      <w:r>
        <w:t>En définitive, le recours de A.________ doit être admis, le jugement entrepris annulé d’office et la cause renvoyée au Tribunal correctionnel de l’arrondissement de Lausanne pour nouvelle instruction et nouveau jugement dans le sens des considérants. Les frais de deuxième instance sont laissés à la charge de l'Etat (art. 450 al. 2 CPP), y compris l'indemnité allouée au conseil d’office du plaignant.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