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107 vom 10. Mai 2010</w:t>
      </w:r>
    </w:p>
    <w:p>
      <w:r>
        <w:t>VD Tribunal cantonal, 2010-05-10, FR</w:t>
      </w:r>
    </w:p>
    <w:p>
      <w:r>
        <w:rPr>
          <w:b/>
        </w:rPr>
        <w:t xml:space="preserve">Quelle: </w:t>
      </w:r>
      <w:r>
        <w:t>https://mcp.opencaselaw.ch/entscheid/vd_findinfo_AP___2010___107</w:t>
      </w:r>
    </w:p>
    <w:p>
      <w:r>
        <w:t>FR: VD_FINDINFO AP / 2010 / 107 du 10 mai 2010</w:t>
      </w:r>
    </w:p>
    <w:p>
      <w:r>
        <w:t>IT: VD_FINDINFO AP / 2010 / 107 del 10 maggio 2010</w:t>
      </w:r>
    </w:p>
    <w:p>
      <w:pPr>
        <w:pStyle w:val="Heading2"/>
      </w:pPr>
      <w:r>
        <w:t>Regeste</w:t>
      </w:r>
    </w:p>
    <w:p>
      <w:r>
        <w:t>CONSTATATION DES FAITS | 411 let. h CPP</w:t>
      </w:r>
    </w:p>
    <w:p>
      <w:pPr>
        <w:pStyle w:val="Heading2"/>
      </w:pPr>
      <w:r>
        <w:t>Erwägungen</w:t>
      </w:r>
    </w:p>
    <w:p>
      <w:r>
        <w:rPr>
          <w:b/>
        </w:rPr>
        <w:t>E. 1</w:t>
      </w:r>
    </w:p>
    <w:p>
      <w:r>
        <w:t>Le recours étant exclusivement en nullité, la Cour de cassation n'examine que les moyens soulevés (art. 439 al. 1 CPP). Invoquant l'art. 411 let. h CPP, le Parquet soutient que le jugement attaqué contient des lacunes et des contradictions qui doivent conduire à son annulation. Il considère que A.A.________ a été libéré à tort des infractions de gestion déloyale qualifiée et de gestion fautive.</w:t>
      </w:r>
    </w:p>
    <w:p>
      <w:r>
        <w:rPr>
          <w:b/>
        </w:rPr>
        <w:t>E. 2</w:t>
      </w:r>
    </w:p>
    <w:p>
      <w:r>
        <w:t>En ce qui concerne la gestion déloyale qualifiée, le Ministère public relève que les premiers juges l’ont écartée au motif que A.A.________ n’avait à l’évidence pas un droit de disposition autonome ni une indépendance suffisante l’autorisant à agir seul. Or, selon le Parquet, la lecture des déclarations des parties, du dénonciateur et du témoin R.________ telles que rapportées par le jugement, semble indiquer que A.A.________ avait, à tout le moins, toute latitude pour effectuer les retraits dont il a bénéficié.</w:t>
      </w:r>
    </w:p>
    <w:p>
      <w:r>
        <w:rPr>
          <w:b/>
        </w:rPr>
        <w:t>E. 2.1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Bovay/Dupuis/Monnier/Moreillon/Piguet, Procédure pénale vaudoise, Code annoté, 3 ème éd., Lausanne 2008,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Aperçu de jurisprudence sur les voies de recours à la Cour de cassation pénale du Tribunal cantonal vaudois, in JT 1989 III 98,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w:t>
      </w:r>
    </w:p>
    <w:p>
      <w:r>
        <w:rPr>
          <w:b/>
        </w:rPr>
        <w:t>E. 2.2</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L'infraction de gestion déloyale au sens de l'art. 158 ch. 1 al. 1 CP suppose donc la réalisation de quatre éléments : il faut que l'auteur ait eu un devoir de gestion ou de sauvegarde, qu'il ait violé une obligation qui lui revient en cette qualité, qu'il en soit résulté un dommage et qu'il ait agi intentionnellement. Dans la situation aggravée prévue par l'art. 158 ch. 1 al. 3 CP, il faut encore un dessein de se procurer ou de procurer à un tiers un enrichissement illégitime.</w:t>
      </w:r>
    </w:p>
    <w:p>
      <w:r>
        <w:rPr>
          <w:b/>
        </w:rPr>
        <w:t>E. 2.3</w:t>
      </w:r>
    </w:p>
    <w:p>
      <w:r>
        <w:t>En l'espèce, A.A.________ était directeur et administrateur de B.________ SA (jgt., p. 6). Toutefois, comme le relève le Ministère public, la décision querellée ne traite nullement de l'étendue des pouvoirs et de l'indépendance dont jouissait l'intimé. Il appartenait pourtant aux premiers juges, afin d'établir si l'infraction de gestion déloyale était réalisée, d'examiner le fonctionnement de B.________ SA ainsi que de déterminer si le comportement de A.A.________ correspondait objectivement à ses obligations d'administrateur et de directeur. En effet, pour savoir s'il y a eu violation du devoir de gestion, il faut déterminer concrètement le contenu du devoir, c'est à dire le comportement que l'auteur devait adopter. Or, dans le cas présent, le tribunal s'est contenté de retenir que A.A.________ n’avait pas un droit de disposition autonome ni une indépendance suffisante l’autorisant à agir seul, que la situation financière de la société était connue de tous et qu'aucun élément de l'instruction n'a permis d'établir que celui-ci n'avait le droit de prélever que 10'000 fr. par mois au titre de salaire (jgt., p. 13). Il ressort pourtant des déclarations des parties et du dénonciateur (jgt., pp. 8 à 12) que le prénommé jouissait d'une importante liberté pour gérer la société. Cela ressort d'ailleurs des éléments suivants : les investissements ont été effectués sur la base de liens d'amitié et d'une confiance réciproque et Z.________ n'a procédé à aucune vérification à propos des informations données oralement par A.A.________ (jgt., p. 8); ce n'est qu'à la fin des années 2000 que Z.________ a demandé à l'accusé de cesser ses prélèvements excessifs (jgt., p. 9); J.________ faisait confiance à A.A.________ (jgt., p. 9); A.A.________ a utilisé B.________ SA comme une banque privée (jgt., p. 11); le conseil d'administration de B.________ SA dépendait entièrement de l'accusé (jgt., p. 11). Il paraît dès lors douteux de retenir que A.A.________ n’avait pas un droit de disposition autonome ni une indépendance suffisante l’autorisant à agir seul (jgt., p. 13). Les premiers juges semblent confondre l'indépendance et la reddition des comptes. Le simple fait que l'accusé doive rendre compte au conseil d'administration ne lui enlève cependant pas son indépendance. Peu importe également que l'intimé n'ait rien caché de ses activités aux investisseurs-actionnaires, la gestion déloyale n'impliquant pas la dissimulation. Le jugement est encore muet sur les raisons qui ont amené les premiers juges à écarter les propos du dénonciateur selon lesquels les époux B.A.________ ont utilisé B.________ SA comme banque privée. Il en va de même avec le témoignage de R.________ selon lequel compte tenu de la situation de la société, chacun devait se serrer la ceinture et la rémunération aurait dû dépendre du résultat des affaires (jgt., p. 12). Les magistrats de première instance ne se sont pas non plus penchés sur le rapport entre ces prélèvements et la situation financière de la société. Il convenait pourtant d'examiner de manière concrète si les actes de gestion reprochés à l'intimé violaient un devoir de gestion spécifique. Aussi, afin de déterminer quels étaient les faits pertinents de la cause, il incombait aux premiers juges d'établir les obligations légales de l'intimé envers B.________ SA. Or, il apparaît à la lecture du jugement que le tribunal s'est fondé exclusivement sur les relations entre les plaignants et A.A.________. La conviction du tribunal repose essentiellement sur les compétences en matière de gestion et de comptabilité attribuées aux plaignants ainsi que sur le reproche qui leur est fait de ne pas avoir réagi assez tôt. Force est ainsi de constater que l'état de fait est insuffisant et lacunaire dans la mesure où il ne permet pas de contrôler si les éléments constitutifs de l'infraction de gestion déloyale sont réalisés. Le moyen tiré de l'art. 411 let. h CPP est partant fondé.</w:t>
      </w:r>
    </w:p>
    <w:p>
      <w:r>
        <w:rPr>
          <w:b/>
        </w:rPr>
        <w:t>E. 3</w:t>
      </w:r>
    </w:p>
    <w:p>
      <w:r>
        <w:t>Au sujet de l'infraction de gestion fautive (art. 165 CP), le Ministère public soutient que A.A.________ n'ignorait rien du contexte périlleux dans lequel évoluait B.________ SA, ce qui ne l'a toutefois pas empêché de prélever plus de 30'000 fr. par mois pour son propre compte.</w:t>
      </w:r>
    </w:p>
    <w:p>
      <w:r>
        <w:rPr>
          <w:b/>
        </w:rPr>
        <w:t>E. 3.1</w:t>
      </w:r>
    </w:p>
    <w:p>
      <w:r>
        <w:t>Selon l'art. 165 ch. 1 CP, le débiteur qui,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puni d'une peine privative de liberté de cinq ans au plus ou d'une peine pécuniaire.</w:t>
      </w:r>
    </w:p>
    <w:p>
      <w:r>
        <w:rPr>
          <w:b/>
        </w:rPr>
        <w:t>E. 3.2</w:t>
      </w:r>
    </w:p>
    <w:p>
      <w:r>
        <w:t>A propos de la gestion fautive, le tribunal s'est limité à exposer que rien ne permettait de dire que A.A.________ avait fait preuve d’un manque du sens des responsabilités et qu’il avait conscience des circonstances qui pouvaient rendre critiquable son comportement (jgt., p. 14). Cette affirmation paraît toutefois contraire, en ce qui concerne les circonstances, aux propres déclarations du prénommé, telles que rapportées par le jugement. En effet, pour l’accusé, il était évident qu’au moment de la recapitalisation de B.________ SA, l’apport de 1'500'000 fr. de la part des trois actionnaires n’était pas suffisant pour réaliser les objectifs commerciaux. Selon lui, il aurait fallu en réalité un apport de 2’300’000 francs (jgt., p. 9). Au vu de ce qui précède, A.A.________ était parfaitement conscient de la sous-capitalisation et de la situation difficile de la société. Il a d'ailleurs lui-même évoqué les problèmes rencontrés avec des palourdes contaminées aux antibiotiques qui auraient été, selon lui, à l’origine d’une diminution sensible du chiffre d’affaires (jgt., p. 10). Il n’ignorait donc rien du contexte périlleux dans lequel évoluait la société. Cela ne l’a toutefois pas empêché de prélever plus de 30'000 fr. par mois pour son propre compte. Dans ces circonstances, on ne comprend pas quels éléments ont amené le tribunal à la conclusion précitée. L'autorité intimée n'a nullement établi si les finances de B.________ SA pouvaient supporter un salaire ou des honoraires mensuels se montant à 30'000 francs. L'état de fait du jugement est ainsi lacunaire sur des points de nature à influer sur la décision attaquée (art. 411 let. h CPP) et une instruction complémentaire est nécessaire pour combler ces lacunes. Il appartiendra aux premiers juges de déterminer si une faute de gestion, appréciée au regard des règles du droit commercial, a été commise.</w:t>
      </w:r>
    </w:p>
    <w:p>
      <w:r>
        <w:rPr>
          <w:b/>
        </w:rPr>
        <w:t>E. 4</w:t>
      </w:r>
    </w:p>
    <w:p>
      <w:r>
        <w:t>A.A.________ était également renvoyé pour les faits relatés sous chiffres 3 et 5 de l'ordonnance de renvoi. Or, le jugement n'explique aucunement les raisons pour lesquelles ces points de l'acte d'accusation ne concernaient pas l'intimé. Le moyen soulevé est fondé. L'omission de traiter ces points de l'ordonnance de renvoi constitue également une lacune au sens de l'article 411 litt. h CPP.</w:t>
      </w:r>
    </w:p>
    <w:p>
      <w:r>
        <w:rPr>
          <w:b/>
        </w:rPr>
        <w:t>E. 5</w:t>
      </w:r>
    </w:p>
    <w:p>
      <w:r>
        <w:t>En définitive, dans la mesure où le recours en nullité est admis en application de l'art. 411 let. h CPP, le jugement doit être annulé et la cause renvoyée au Tribunal de police de l'arrondissement de La Broye et du Nord vaudois pour nouvelle instruction et nouveau jugement. Les frais de seconde instance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