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102 vom 26. Februar 2010</w:t>
      </w:r>
    </w:p>
    <w:p>
      <w:r>
        <w:t>VD Tribunal cantonal, 2010-02-26, FR</w:t>
      </w:r>
    </w:p>
    <w:p>
      <w:r>
        <w:rPr>
          <w:b/>
        </w:rPr>
        <w:t xml:space="preserve">Quelle: </w:t>
      </w:r>
      <w:r>
        <w:t>https://mcp.opencaselaw.ch/entscheid/vd_findinfo_AP___2010___102</w:t>
      </w:r>
    </w:p>
    <w:p>
      <w:r>
        <w:t>FR: VD_FINDINFO AP / 2010 / 102 du 26 février 2010</w:t>
      </w:r>
    </w:p>
    <w:p>
      <w:r>
        <w:t>IT: VD_FINDINFO AP / 2010 / 102 del 26 febbraio 2010</w:t>
      </w:r>
    </w:p>
    <w:p>
      <w:pPr>
        <w:pStyle w:val="Heading2"/>
      </w:pPr>
      <w:r>
        <w:t>Regeste</w:t>
      </w:r>
    </w:p>
    <w:p>
      <w:r>
        <w:t>CONVERSION DE LA PEINE, PEINE PÉCUNIAIRE, PEINE PRIVATIVE DE LIBERTÉ | 106 CP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Le Ministère public fait grief au premier juge d'avoir omis d'arrêter la peine de substitution en cas de défaut de paiement fautif de l'amende.</w:t>
      </w:r>
    </w:p>
    <w:p>
      <w:r>
        <w:rPr>
          <w:b/>
        </w:rPr>
        <w:t>E. 2.1</w:t>
      </w:r>
    </w:p>
    <w:p>
      <w:r>
        <w:t>Il sied de constater que le tribunal a infligé à U.________ une amende de 300 fr. afin de sanctionner les voies de fait commises (jgt., p. 13). En pareil cas, le juge a l'obligation de fixer dans son jugement une peine privative de liberté de substitution, conformément à l'art. 106 al. 2 CP. Or, en l'espèce, le magistrat de première instance a omis de prononcer une peine privative de liberté de substitution pour le cas où l'accusée ne paierait pas l'amende. Il appartient dès lors à la cour de céans de réparer cette omission. Aux termes de l'art. 106 al. 3 CP, le juge fixe l'amende et la peine privative de liberté de substitution en tenant compte de la situation de l'auteur afin que la peine corresponde à la faute commise. Le juge dispose, en ce qui concerne la fixation de la peine privative de liberté de substitution, d'un pouvoir d'appréciation étendu.</w:t>
      </w:r>
    </w:p>
    <w:p>
      <w:r>
        <w:rPr>
          <w:b/>
        </w:rPr>
        <w:t>E. 2.2</w:t>
      </w:r>
    </w:p>
    <w:p>
      <w:r>
        <w:t>Dans le cas d'espèce, le montant de l'amende n'étant pas contesté, il reste fixé à 300 francs. Quant à la peine de substitution, il apparaît adéquat, vu notamment la situation financière de l'intéressée, d'utiliser le montant du jour-amende arrêté à 10 fr. comme taux de conversion et de diviser l'amende ci-avant par ce montant. Par conséquent, la peine privative de liberté de substitution sera de 30 jours.</w:t>
      </w:r>
    </w:p>
    <w:p>
      <w:r>
        <w:rPr>
          <w:b/>
        </w:rPr>
        <w:t>E. 3</w:t>
      </w:r>
    </w:p>
    <w:p>
      <w:r>
        <w:t>En définitive, le recours du Ministère public doit être admis et le jugement réformé dans le sens des considérants.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